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CE73F" w14:textId="4E90C1D9" w:rsidR="00B53CC0" w:rsidRPr="00B53CC0" w:rsidRDefault="00B53CC0" w:rsidP="00B53CC0">
      <w:pPr>
        <w:rPr>
          <w:b/>
          <w:bCs/>
          <w:color w:val="FFFFFF" w:themeColor="background1"/>
          <w:sz w:val="52"/>
          <w:szCs w:val="52"/>
          <w:lang w:val="fr-FR"/>
        </w:rPr>
      </w:pPr>
      <w:r>
        <w:rPr>
          <w:b/>
          <w:bCs/>
          <w:noProof/>
          <w:lang w:val="en-US"/>
        </w:rPr>
        <w:drawing>
          <wp:anchor distT="0" distB="0" distL="114300" distR="114300" simplePos="0" relativeHeight="251659264" behindDoc="1" locked="0" layoutInCell="1" allowOverlap="1" wp14:anchorId="71B030ED" wp14:editId="226979BA">
            <wp:simplePos x="0" y="0"/>
            <wp:positionH relativeFrom="page">
              <wp:posOffset>16066</wp:posOffset>
            </wp:positionH>
            <wp:positionV relativeFrom="paragraph">
              <wp:posOffset>-897890</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pict w14:anchorId="30DC8337">
          <v:rect id="Rectangle 63" o:spid="_x0000_s1026" style="position:absolute;margin-left:40.55pt;margin-top:35.3pt;width:46.2pt;height:3.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w:r>
      <w:r w:rsidRPr="00B53CC0">
        <w:rPr>
          <w:b/>
          <w:bCs/>
          <w:color w:val="FFFFFF" w:themeColor="background1"/>
          <w:sz w:val="52"/>
          <w:szCs w:val="52"/>
          <w:lang w:val="fr-FR"/>
        </w:rPr>
        <w:t>S</w:t>
      </w:r>
      <w:r>
        <w:rPr>
          <w:b/>
          <w:bCs/>
          <w:color w:val="FFFFFF" w:themeColor="background1"/>
          <w:sz w:val="52"/>
          <w:szCs w:val="52"/>
          <w:lang w:val="fr-FR"/>
        </w:rPr>
        <w:t>HRNUTÍ ČLÁNKŮ</w:t>
      </w:r>
      <w:r w:rsidRPr="00B53CC0">
        <w:rPr>
          <w:b/>
          <w:bCs/>
          <w:color w:val="FFFFFF" w:themeColor="background1"/>
          <w:sz w:val="52"/>
          <w:szCs w:val="52"/>
          <w:lang w:val="fr-FR"/>
        </w:rPr>
        <w:t xml:space="preserve"> : </w:t>
      </w:r>
      <w:r>
        <w:rPr>
          <w:b/>
          <w:bCs/>
          <w:color w:val="FFFFFF" w:themeColor="background1"/>
          <w:sz w:val="52"/>
          <w:szCs w:val="52"/>
          <w:lang w:val="fr-FR"/>
        </w:rPr>
        <w:t>ČLÁNEK</w:t>
      </w:r>
      <w:r w:rsidRPr="00B53CC0">
        <w:rPr>
          <w:b/>
          <w:bCs/>
          <w:color w:val="FFFFFF" w:themeColor="background1"/>
          <w:sz w:val="52"/>
          <w:szCs w:val="52"/>
          <w:lang w:val="fr-FR"/>
        </w:rPr>
        <w:t xml:space="preserve"> 31 </w:t>
      </w:r>
      <w:r>
        <w:rPr>
          <w:b/>
          <w:bCs/>
          <w:color w:val="FFFFFF" w:themeColor="background1"/>
          <w:sz w:val="52"/>
          <w:szCs w:val="52"/>
          <w:lang w:val="fr-FR"/>
        </w:rPr>
        <w:t>LZPEU</w:t>
      </w:r>
      <w:r w:rsidRPr="00B53CC0">
        <w:rPr>
          <w:b/>
          <w:bCs/>
          <w:color w:val="FFFFFF" w:themeColor="background1"/>
          <w:sz w:val="52"/>
          <w:szCs w:val="52"/>
          <w:lang w:val="fr-FR"/>
        </w:rPr>
        <w:t xml:space="preserve"> </w:t>
      </w:r>
    </w:p>
    <w:p w14:paraId="51E158AF" w14:textId="2B34A603" w:rsidR="008239CE" w:rsidRDefault="008239CE" w:rsidP="00B53CC0">
      <w:pPr>
        <w:pBdr>
          <w:top w:val="nil"/>
          <w:left w:val="nil"/>
          <w:bottom w:val="nil"/>
          <w:right w:val="nil"/>
          <w:between w:val="nil"/>
        </w:pBdr>
        <w:rPr>
          <w:b/>
          <w:color w:val="000000"/>
        </w:rPr>
      </w:pPr>
    </w:p>
    <w:p w14:paraId="0A1811D5" w14:textId="77777777" w:rsidR="00B53CC0" w:rsidRDefault="00B53CC0">
      <w:pPr>
        <w:pBdr>
          <w:top w:val="nil"/>
          <w:left w:val="nil"/>
          <w:bottom w:val="nil"/>
          <w:right w:val="nil"/>
          <w:between w:val="nil"/>
        </w:pBdr>
        <w:jc w:val="right"/>
        <w:rPr>
          <w:b/>
          <w:color w:val="000000"/>
        </w:rPr>
      </w:pPr>
    </w:p>
    <w:p w14:paraId="7832BA48" w14:textId="31004136" w:rsidR="00B53CC0" w:rsidRDefault="008846E1">
      <w:pPr>
        <w:pBdr>
          <w:top w:val="nil"/>
          <w:left w:val="nil"/>
          <w:bottom w:val="nil"/>
          <w:right w:val="nil"/>
          <w:between w:val="nil"/>
        </w:pBdr>
        <w:jc w:val="right"/>
        <w:rPr>
          <w:b/>
          <w:color w:val="000000"/>
        </w:rPr>
      </w:pPr>
      <w:r>
        <w:rPr>
          <w:noProof/>
        </w:rPr>
        <w:pict w14:anchorId="77EEFA71">
          <v:roundrect id="Zone de texte 2" o:spid="_x0000_s1027" style="position:absolute;left:0;text-align:left;margin-left:-.1pt;margin-top:45.4pt;width:423.75pt;height:137.55pt;z-index:251662336;visibility:visible;mso-wrap-style:square;mso-width-percent:0;mso-height-percent:200;mso-wrap-distance-left:9pt;mso-wrap-distance-top:3.6pt;mso-wrap-distance-right:9pt;mso-wrap-distance-bottom:3.6pt;mso-position-horizontal-relative:margin;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" fillcolor="#d9e2f3 [660]" strokecolor="#d9e2f3 [660]">
            <v:stroke joinstyle="miter"/>
            <v:textbox style="mso-fit-shape-to-text:t">
              <w:txbxContent>
                <w:p w14:paraId="5ACA9CE5" w14:textId="1086A48C" w:rsidR="008846E1" w:rsidRPr="008846E1" w:rsidRDefault="008846E1" w:rsidP="008846E1">
                  <w:pPr>
                    <w:rPr>
                      <w:rFonts w:asciiTheme="majorHAnsi" w:hAnsiTheme="majorHAnsi" w:cstheme="majorHAnsi"/>
                      <w:b/>
                      <w:bCs/>
                      <w:i/>
                      <w:color w:val="000000"/>
                      <w:lang w:eastAsia="en-GB"/>
                    </w:rPr>
                  </w:pPr>
                  <w:r>
                    <w:rPr>
                      <w:b/>
                      <w:i/>
                      <w:lang w:eastAsia="en-GB"/>
                    </w:rPr>
                    <w:t>„</w:t>
                  </w:r>
                  <w:r w:rsidRPr="008846E1">
                    <w:rPr>
                      <w:rFonts w:asciiTheme="majorHAnsi" w:hAnsiTheme="majorHAnsi" w:cstheme="majorHAnsi"/>
                      <w:b/>
                      <w:bCs/>
                      <w:i/>
                      <w:color w:val="000000"/>
                      <w:lang w:eastAsia="en-GB"/>
                    </w:rPr>
                    <w:t>Slušné a spravedlivé pracovní podmínky</w:t>
                  </w:r>
                </w:p>
                <w:p w14:paraId="63E379C2" w14:textId="77777777" w:rsidR="008846E1" w:rsidRPr="008846E1" w:rsidRDefault="008846E1" w:rsidP="008846E1">
                  <w:pPr>
                    <w:rPr>
                      <w:rFonts w:asciiTheme="majorHAnsi" w:hAnsiTheme="majorHAnsi" w:cstheme="majorHAnsi"/>
                      <w:b/>
                      <w:bCs/>
                      <w:i/>
                      <w:color w:val="000000"/>
                      <w:lang w:eastAsia="en-GB"/>
                    </w:rPr>
                  </w:pPr>
                </w:p>
                <w:p w14:paraId="29F1F4A1" w14:textId="77777777" w:rsidR="008846E1" w:rsidRPr="008846E1" w:rsidRDefault="008846E1" w:rsidP="008846E1">
                  <w:pPr>
                    <w:rPr>
                      <w:rFonts w:asciiTheme="majorHAnsi" w:hAnsiTheme="majorHAnsi" w:cstheme="majorHAnsi"/>
                      <w:i/>
                      <w:color w:val="000000"/>
                      <w:lang w:eastAsia="en-GB"/>
                    </w:rPr>
                  </w:pPr>
                  <w:r w:rsidRPr="008846E1">
                    <w:rPr>
                      <w:rFonts w:asciiTheme="majorHAnsi" w:hAnsiTheme="majorHAnsi" w:cstheme="majorHAnsi"/>
                      <w:i/>
                      <w:color w:val="000000"/>
                      <w:lang w:eastAsia="en-GB"/>
                    </w:rPr>
                    <w:t>1.   Každý pracovník má právo na pracovní podmínky respektující jeho zdraví, bezpečnost a důstojnost.</w:t>
                  </w:r>
                </w:p>
                <w:p w14:paraId="42428C7F" w14:textId="198B6D3D" w:rsidR="008846E1" w:rsidRPr="008846E1" w:rsidRDefault="008846E1" w:rsidP="008846E1">
                  <w:pPr>
                    <w:rPr>
                      <w:rFonts w:asciiTheme="majorHAnsi" w:hAnsiTheme="majorHAnsi" w:cstheme="majorHAnsi"/>
                      <w:i/>
                      <w:color w:val="000000"/>
                      <w:lang w:eastAsia="en-GB"/>
                    </w:rPr>
                  </w:pPr>
                  <w:r w:rsidRPr="008846E1">
                    <w:rPr>
                      <w:rFonts w:asciiTheme="majorHAnsi" w:hAnsiTheme="majorHAnsi" w:cstheme="majorHAnsi"/>
                      <w:i/>
                      <w:color w:val="000000"/>
                      <w:lang w:eastAsia="en-GB"/>
                    </w:rPr>
                    <w:t>2.   Každý pracovník má právo na stanovení maximální přípustné pracovní doby, na denní a týdenní odpočinek a na každoroční placenou dovolenou.</w:t>
                  </w:r>
                  <w:r>
                    <w:rPr>
                      <w:rFonts w:asciiTheme="majorHAnsi" w:hAnsiTheme="majorHAnsi" w:cstheme="majorHAnsi"/>
                      <w:i/>
                      <w:color w:val="000000"/>
                      <w:lang w:eastAsia="en-GB"/>
                    </w:rPr>
                    <w:t>“</w:t>
                  </w:r>
                </w:p>
                <w:p w14:paraId="250915C3" w14:textId="77777777" w:rsidR="008846E1" w:rsidRPr="00CF3827" w:rsidRDefault="008846E1" w:rsidP="008846E1">
                  <w:pPr>
                    <w:rPr>
                      <w:rFonts w:asciiTheme="majorHAnsi" w:hAnsiTheme="majorHAnsi" w:cstheme="majorHAnsi"/>
                      <w:i/>
                      <w:iCs/>
                      <w:lang w:val="en-GB"/>
                    </w:rPr>
                  </w:pPr>
                </w:p>
                <w:p w14:paraId="689491E3" w14:textId="77777777" w:rsidR="008846E1" w:rsidRPr="00BA7FF3" w:rsidRDefault="008846E1" w:rsidP="008846E1"/>
              </w:txbxContent>
            </v:textbox>
            <w10:wrap type="square" anchorx="margin"/>
          </v:roundrect>
        </w:pict>
      </w:r>
    </w:p>
    <w:p w14:paraId="13B3093E" w14:textId="57B0B443" w:rsidR="00B53CC0" w:rsidRDefault="00B53CC0">
      <w:pPr>
        <w:pBdr>
          <w:top w:val="nil"/>
          <w:left w:val="nil"/>
          <w:bottom w:val="nil"/>
          <w:right w:val="nil"/>
          <w:between w:val="nil"/>
        </w:pBdr>
        <w:jc w:val="right"/>
        <w:rPr>
          <w:b/>
          <w:color w:val="000000"/>
        </w:rPr>
      </w:pPr>
    </w:p>
    <w:p w14:paraId="78B5D83A" w14:textId="77777777" w:rsidR="00200C55" w:rsidRDefault="00200C55" w:rsidP="008846E1">
      <w:pPr>
        <w:pBdr>
          <w:top w:val="nil"/>
          <w:left w:val="nil"/>
          <w:bottom w:val="nil"/>
          <w:right w:val="nil"/>
          <w:between w:val="nil"/>
        </w:pBdr>
        <w:rPr>
          <w:b/>
          <w:color w:val="000000"/>
        </w:rPr>
      </w:pPr>
    </w:p>
    <w:p w14:paraId="5A8B0C02" w14:textId="77777777" w:rsidR="00200C55" w:rsidRDefault="00200C55">
      <w:pPr>
        <w:pBdr>
          <w:top w:val="nil"/>
          <w:left w:val="nil"/>
          <w:bottom w:val="nil"/>
          <w:right w:val="nil"/>
          <w:between w:val="nil"/>
        </w:pBdr>
        <w:jc w:val="right"/>
        <w:rPr>
          <w:b/>
          <w:color w:val="000000"/>
        </w:rPr>
      </w:pPr>
    </w:p>
    <w:tbl>
      <w:tblPr>
        <w:tblStyle w:val="a"/>
        <w:tblW w:w="84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4"/>
      </w:tblGrid>
      <w:tr w:rsidR="008239CE" w14:paraId="628E55A9" w14:textId="77777777">
        <w:tc>
          <w:tcPr>
            <w:tcW w:w="8494" w:type="dxa"/>
          </w:tcPr>
          <w:p w14:paraId="06E38C69" w14:textId="77777777" w:rsidR="008239CE" w:rsidRDefault="007A549D" w:rsidP="005F0568">
            <w:pPr>
              <w:jc w:val="both"/>
              <w:rPr>
                <w:b/>
              </w:rPr>
            </w:pPr>
            <w:r>
              <w:rPr>
                <w:b/>
              </w:rPr>
              <w:t>Obsah</w:t>
            </w:r>
            <w:r w:rsidR="005F0568">
              <w:rPr>
                <w:b/>
              </w:rPr>
              <w:t xml:space="preserve"> a </w:t>
            </w:r>
            <w:r>
              <w:rPr>
                <w:b/>
              </w:rPr>
              <w:t xml:space="preserve">působnost článku </w:t>
            </w:r>
          </w:p>
        </w:tc>
      </w:tr>
      <w:tr w:rsidR="008239CE" w14:paraId="6ADFCBCB" w14:textId="77777777">
        <w:tc>
          <w:tcPr>
            <w:tcW w:w="8494" w:type="dxa"/>
          </w:tcPr>
          <w:p w14:paraId="57B110CA" w14:textId="77777777" w:rsidR="00831E98" w:rsidRDefault="00831E98" w:rsidP="005F0568">
            <w:pPr>
              <w:jc w:val="both"/>
              <w:rPr>
                <w:b/>
              </w:rPr>
            </w:pPr>
          </w:p>
          <w:p w14:paraId="778ED896" w14:textId="6668A5E4" w:rsidR="008239CE" w:rsidRDefault="007A549D" w:rsidP="005F0568">
            <w:pPr>
              <w:jc w:val="both"/>
            </w:pPr>
            <w:r>
              <w:rPr>
                <w:b/>
              </w:rPr>
              <w:t>Obecný výklad</w:t>
            </w:r>
            <w:r>
              <w:t>:</w:t>
            </w:r>
          </w:p>
          <w:p w14:paraId="3E17ED26" w14:textId="77777777" w:rsidR="008239CE" w:rsidRDefault="008239CE" w:rsidP="005F0568">
            <w:pPr>
              <w:jc w:val="both"/>
            </w:pPr>
          </w:p>
          <w:p w14:paraId="36F1B1FB" w14:textId="77777777" w:rsidR="008239CE" w:rsidRDefault="007A549D" w:rsidP="005F0568">
            <w:pPr>
              <w:jc w:val="both"/>
            </w:pPr>
            <w:r>
              <w:t>Odstavec 1 tohoto článku je založen na směrnici 89/391/EHS</w:t>
            </w:r>
            <w:r w:rsidR="005F0568">
              <w:t xml:space="preserve"> o </w:t>
            </w:r>
            <w:r>
              <w:t>zavádění opatření pro zlepšení bezpečnosti</w:t>
            </w:r>
            <w:r w:rsidR="005F0568">
              <w:t xml:space="preserve"> a </w:t>
            </w:r>
            <w:r>
              <w:t>ochrany zdraví zaměstnanců při práci. Vychází ze sociální charty</w:t>
            </w:r>
            <w:r w:rsidR="005F0568">
              <w:t xml:space="preserve"> a </w:t>
            </w:r>
            <w:r>
              <w:t>Charty Společenství základních sociálních práv pracovníků,</w:t>
            </w:r>
            <w:r w:rsidR="005F0568">
              <w:t xml:space="preserve"> a </w:t>
            </w:r>
            <w:r>
              <w:t>pokud jde</w:t>
            </w:r>
            <w:r w:rsidR="005F0568">
              <w:t xml:space="preserve"> o </w:t>
            </w:r>
            <w:r>
              <w:t>důstojnost</w:t>
            </w:r>
            <w:r w:rsidR="005F0568">
              <w:t xml:space="preserve"> v </w:t>
            </w:r>
            <w:r>
              <w:t>práci,</w:t>
            </w:r>
            <w:r w:rsidR="005F0568">
              <w:t xml:space="preserve"> z </w:t>
            </w:r>
            <w:r>
              <w:t>revidované sociální charty. Pojem „pracovní podmínky“ má být chápán ve smyslu článku 156 Smlouvy</w:t>
            </w:r>
            <w:r w:rsidR="005F0568">
              <w:t xml:space="preserve"> o </w:t>
            </w:r>
            <w:r>
              <w:t>fungování Evropské unie.</w:t>
            </w:r>
          </w:p>
          <w:p w14:paraId="7145C897" w14:textId="77777777" w:rsidR="008239CE" w:rsidRDefault="008239CE" w:rsidP="005F0568">
            <w:pPr>
              <w:jc w:val="both"/>
            </w:pPr>
          </w:p>
          <w:p w14:paraId="1D2D43F7" w14:textId="77777777" w:rsidR="008239CE" w:rsidRDefault="007A549D" w:rsidP="005F0568">
            <w:pPr>
              <w:jc w:val="both"/>
            </w:pPr>
            <w:r>
              <w:t>Odstavec 2 je založen na směrnici 93/104/ES</w:t>
            </w:r>
            <w:r w:rsidR="005F0568">
              <w:t xml:space="preserve"> o </w:t>
            </w:r>
            <w:r>
              <w:t>některých aspektech úpravy pracovní doby, na Evropské sociální chartě</w:t>
            </w:r>
            <w:r w:rsidR="005F0568">
              <w:t xml:space="preserve"> a </w:t>
            </w:r>
            <w:r>
              <w:t>Chartě Společenství základních sociálních práv pracovníků.</w:t>
            </w:r>
          </w:p>
          <w:p w14:paraId="6C951EFD" w14:textId="77777777" w:rsidR="008239CE" w:rsidRDefault="008239CE" w:rsidP="005F0568">
            <w:pPr>
              <w:jc w:val="both"/>
              <w:rPr>
                <w:b/>
              </w:rPr>
            </w:pPr>
          </w:p>
          <w:p w14:paraId="2FD2BBF5" w14:textId="77777777" w:rsidR="008239CE" w:rsidRDefault="008239CE" w:rsidP="005F0568">
            <w:pPr>
              <w:jc w:val="both"/>
            </w:pPr>
          </w:p>
          <w:p w14:paraId="42817D25" w14:textId="77777777" w:rsidR="008239CE" w:rsidRDefault="007A549D" w:rsidP="005F0568">
            <w:pPr>
              <w:jc w:val="both"/>
              <w:rPr>
                <w:b/>
              </w:rPr>
            </w:pPr>
            <w:r>
              <w:rPr>
                <w:b/>
              </w:rPr>
              <w:t>Úprava pracovní doby:</w:t>
            </w:r>
          </w:p>
          <w:p w14:paraId="7CAAD7CB" w14:textId="77777777" w:rsidR="008239CE" w:rsidRDefault="008239CE" w:rsidP="005F0568">
            <w:pPr>
              <w:jc w:val="both"/>
            </w:pPr>
          </w:p>
          <w:p w14:paraId="41258167" w14:textId="77777777" w:rsidR="008239CE" w:rsidRDefault="007A549D" w:rsidP="005F0568">
            <w:pPr>
              <w:jc w:val="both"/>
            </w:pPr>
            <w:r>
              <w:t>Směrnice 2003/88/ES zavedením práva každého pracovníka na denní odpočinek</w:t>
            </w:r>
            <w:r w:rsidR="005F0568">
              <w:t xml:space="preserve"> a </w:t>
            </w:r>
            <w:r>
              <w:t>odpočinek</w:t>
            </w:r>
            <w:r w:rsidR="005F0568">
              <w:t xml:space="preserve"> v </w:t>
            </w:r>
            <w:r>
              <w:t>týdnu poskytla konkrétní vyjádření základnímu právu výslovně zakotvenému</w:t>
            </w:r>
            <w:r w:rsidR="005F0568">
              <w:t xml:space="preserve"> v čl. </w:t>
            </w:r>
            <w:r>
              <w:t>31 odst. 2 Listiny,</w:t>
            </w:r>
            <w:r w:rsidR="005F0568">
              <w:t xml:space="preserve"> a </w:t>
            </w:r>
            <w:r>
              <w:t xml:space="preserve">musí tedy musí být také vykládána ve světle </w:t>
            </w:r>
            <w:r w:rsidR="005F0568">
              <w:t>čl. </w:t>
            </w:r>
            <w:r>
              <w:t>31 odst. 2.</w:t>
            </w:r>
            <w:r w:rsidR="005F0568">
              <w:t xml:space="preserve"> Z </w:t>
            </w:r>
            <w:r>
              <w:t>toho zejména vyplývá, že příslušná ustanovení směrnice 2003/88/ES nesmí být vykládána restriktivně na újmu práv, která</w:t>
            </w:r>
            <w:r w:rsidR="005F0568">
              <w:t xml:space="preserve"> z </w:t>
            </w:r>
            <w:r>
              <w:t>něj pro pracovníky plynou. </w:t>
            </w:r>
          </w:p>
          <w:p w14:paraId="56E23398" w14:textId="77777777" w:rsidR="008239CE" w:rsidRDefault="008239CE" w:rsidP="005F0568">
            <w:pPr>
              <w:jc w:val="both"/>
            </w:pPr>
          </w:p>
          <w:p w14:paraId="3EE22CA1" w14:textId="77777777" w:rsidR="008239CE" w:rsidRDefault="007A549D" w:rsidP="005F0568">
            <w:pPr>
              <w:jc w:val="both"/>
            </w:pPr>
            <w:r>
              <w:t>Rovněž je třeba připomenut, že pracovník musí být považován za slabší stranu pracovního poměru,</w:t>
            </w:r>
            <w:r w:rsidR="005F0568">
              <w:t xml:space="preserve"> a </w:t>
            </w:r>
            <w:r>
              <w:t>že je tedy nezbytné zabránit zaměstnavateli, aby se dostal do pozice,</w:t>
            </w:r>
            <w:r w:rsidR="005F0568">
              <w:t xml:space="preserve"> z </w:t>
            </w:r>
            <w:r>
              <w:t>níž by mu mohl jeho práva omezovat.</w:t>
            </w:r>
          </w:p>
          <w:p w14:paraId="05D6F13C" w14:textId="77777777" w:rsidR="008239CE" w:rsidRDefault="008239CE" w:rsidP="005F0568">
            <w:pPr>
              <w:jc w:val="both"/>
            </w:pPr>
          </w:p>
          <w:p w14:paraId="21F14EFC" w14:textId="77777777" w:rsidR="008239CE" w:rsidRDefault="007A549D" w:rsidP="005F0568">
            <w:pPr>
              <w:jc w:val="both"/>
            </w:pPr>
            <w:r>
              <w:t>Případná výhodnější právní úprava této problematiky, pokud jde</w:t>
            </w:r>
            <w:r w:rsidR="005F0568">
              <w:t xml:space="preserve"> o </w:t>
            </w:r>
            <w:r>
              <w:t>odpočinek</w:t>
            </w:r>
            <w:r w:rsidR="005F0568">
              <w:t xml:space="preserve"> v </w:t>
            </w:r>
            <w:r>
              <w:t xml:space="preserve">týdnu, než jaký vyžaduje jako minimální limit směrnice 2003/88/ES, nemůže </w:t>
            </w:r>
            <w:r>
              <w:lastRenderedPageBreak/>
              <w:t>odepřít pracovníkovi ostatní práva zaručená touto směrnicí, zvláště pak právo na denní odpočinek.</w:t>
            </w:r>
          </w:p>
          <w:p w14:paraId="416FD843" w14:textId="77777777" w:rsidR="008239CE" w:rsidRDefault="008239CE" w:rsidP="005F0568">
            <w:pPr>
              <w:jc w:val="both"/>
            </w:pPr>
          </w:p>
          <w:p w14:paraId="7AC85D73" w14:textId="77777777" w:rsidR="008239CE" w:rsidRDefault="007A549D" w:rsidP="005F0568">
            <w:pPr>
              <w:jc w:val="both"/>
            </w:pPr>
            <w:r>
              <w:t>Účelem směrnice 2003/88/ES je stanovit minimální požadavky cílené na zlepšení životních</w:t>
            </w:r>
            <w:r w:rsidR="005F0568">
              <w:t xml:space="preserve"> a </w:t>
            </w:r>
            <w:r>
              <w:t>pracovních podmínek pracovníků prostřednictvím přibližování vnitrostátních pravidel týkajících se především délky pracovní doby. Tyto požadavky představují pravidla sociálního práva EU zvláštní důležitosti,</w:t>
            </w:r>
            <w:r w:rsidR="005F0568">
              <w:t xml:space="preserve"> z </w:t>
            </w:r>
            <w:r>
              <w:t>nichž musí mít prospěch každý pracovník; zejména pak zavedením práva každého pracovníka na omezení maximální pracovní doby</w:t>
            </w:r>
            <w:r w:rsidR="005F0568">
              <w:t xml:space="preserve"> a </w:t>
            </w:r>
            <w:r>
              <w:t>na denní dobu odpočinku</w:t>
            </w:r>
            <w:r w:rsidR="005F0568">
              <w:t xml:space="preserve"> a </w:t>
            </w:r>
            <w:r>
              <w:t>odpočinek</w:t>
            </w:r>
            <w:r w:rsidR="005F0568">
              <w:t xml:space="preserve"> v </w:t>
            </w:r>
            <w:r>
              <w:t>týdnu, čímž příslušná směrnice poskytuje konkrétní vyjádření základnímu právu výslovně zakotvenému</w:t>
            </w:r>
            <w:r w:rsidR="005F0568">
              <w:t xml:space="preserve"> v čl. </w:t>
            </w:r>
            <w:r>
              <w:t>31 odst. 2 Listiny základních práv Evropské unie. Dané ustanovení směrnice 2003/88/ES nesmí být vykládáno restriktivně na újmu práv, která</w:t>
            </w:r>
            <w:r w:rsidR="005F0568">
              <w:t xml:space="preserve"> z </w:t>
            </w:r>
            <w:r>
              <w:t>něj plynou pro pracovníky.</w:t>
            </w:r>
          </w:p>
          <w:p w14:paraId="73B6002E" w14:textId="77777777" w:rsidR="008239CE" w:rsidRDefault="008239CE" w:rsidP="005F0568">
            <w:pPr>
              <w:jc w:val="both"/>
              <w:rPr>
                <w:b/>
              </w:rPr>
            </w:pPr>
          </w:p>
          <w:p w14:paraId="2831EB36" w14:textId="77777777" w:rsidR="008239CE" w:rsidRDefault="008239CE" w:rsidP="005F0568">
            <w:pPr>
              <w:jc w:val="both"/>
              <w:rPr>
                <w:b/>
              </w:rPr>
            </w:pPr>
          </w:p>
          <w:p w14:paraId="1E192BE5" w14:textId="77777777" w:rsidR="008239CE" w:rsidRDefault="007A549D" w:rsidP="005F0568">
            <w:pPr>
              <w:jc w:val="both"/>
              <w:rPr>
                <w:b/>
              </w:rPr>
            </w:pPr>
            <w:r>
              <w:rPr>
                <w:b/>
              </w:rPr>
              <w:t xml:space="preserve">Každoroční placená dovolená: </w:t>
            </w:r>
          </w:p>
          <w:p w14:paraId="46B5A949" w14:textId="77777777" w:rsidR="008239CE" w:rsidRDefault="008239CE" w:rsidP="005F0568">
            <w:pPr>
              <w:jc w:val="both"/>
            </w:pPr>
          </w:p>
          <w:p w14:paraId="422C3F18" w14:textId="77777777" w:rsidR="008239CE" w:rsidRDefault="007A549D" w:rsidP="005F0568">
            <w:pPr>
              <w:jc w:val="both"/>
            </w:pPr>
            <w:r>
              <w:t>Podle ustálené judikatury Soudního dvora musí být právo každého pracovníka na každoroční placenou dovolenou považováno za zvláště důležitou zásadu sociálního práva EU,</w:t>
            </w:r>
            <w:r w:rsidR="005F0568">
              <w:t xml:space="preserve"> z </w:t>
            </w:r>
            <w:r>
              <w:t>nějž nemohou být žádné výjimky</w:t>
            </w:r>
            <w:r w:rsidR="005F0568">
              <w:t xml:space="preserve"> a </w:t>
            </w:r>
            <w:r>
              <w:t>jehož provedení ze strany příslušných vnitrostátních orgánů musí být omezeno limity výslovně stanovenými směrnicí 2003/88/ES.</w:t>
            </w:r>
          </w:p>
          <w:p w14:paraId="367D52F0" w14:textId="77777777" w:rsidR="008239CE" w:rsidRDefault="008239CE" w:rsidP="005F0568">
            <w:pPr>
              <w:jc w:val="both"/>
            </w:pPr>
          </w:p>
          <w:p w14:paraId="00E38527" w14:textId="77777777" w:rsidR="008239CE" w:rsidRDefault="005F0568" w:rsidP="005F0568">
            <w:pPr>
              <w:jc w:val="both"/>
            </w:pPr>
            <w:r>
              <w:t>Čl. </w:t>
            </w:r>
            <w:r w:rsidR="007A549D">
              <w:t>7 odst. 1 směrnice 2003/88/ES stanovící, že členské státy přijmou nezbytná opatření, aby měl každý pracovník nárok na placenou dovolenou za kalendářní rok</w:t>
            </w:r>
            <w:r>
              <w:t xml:space="preserve"> v </w:t>
            </w:r>
            <w:r w:rsidR="007A549D">
              <w:t>trvání nejméně čtyř týdnů</w:t>
            </w:r>
            <w:r>
              <w:t xml:space="preserve"> v </w:t>
            </w:r>
            <w:r w:rsidR="007A549D">
              <w:t>souladu</w:t>
            </w:r>
            <w:r>
              <w:t xml:space="preserve"> s </w:t>
            </w:r>
            <w:r w:rsidR="007A549D">
              <w:t>podmínkami pro získání</w:t>
            </w:r>
            <w:r>
              <w:t xml:space="preserve"> a </w:t>
            </w:r>
            <w:r w:rsidR="007A549D">
              <w:t>přiznávání této dovolené stanovenými vnitrostátními právními předpisy nebo zvyklostmi, odráží</w:t>
            </w:r>
            <w:r>
              <w:t xml:space="preserve"> a </w:t>
            </w:r>
            <w:r w:rsidR="007A549D">
              <w:t>uvádí</w:t>
            </w:r>
            <w:r>
              <w:t xml:space="preserve"> v </w:t>
            </w:r>
            <w:r w:rsidR="007A549D">
              <w:t>účinnost základní právo na každoroční placenou dovolenou zakotvené</w:t>
            </w:r>
            <w:r>
              <w:t xml:space="preserve"> v čl. </w:t>
            </w:r>
            <w:r w:rsidR="007A549D">
              <w:t>31 odst. 2 Listiny,</w:t>
            </w:r>
            <w:r>
              <w:t xml:space="preserve"> o </w:t>
            </w:r>
            <w:r w:rsidR="007A549D">
              <w:t xml:space="preserve">němž </w:t>
            </w:r>
            <w:r>
              <w:t>čl. </w:t>
            </w:r>
            <w:r w:rsidR="007A549D">
              <w:t>6 odst. 1 SEU uznává, že má stejnou právní hodnotu jako Smlouvy.</w:t>
            </w:r>
          </w:p>
          <w:p w14:paraId="3377D2FB" w14:textId="77777777" w:rsidR="008239CE" w:rsidRDefault="008239CE" w:rsidP="005F0568">
            <w:pPr>
              <w:jc w:val="both"/>
            </w:pPr>
          </w:p>
          <w:p w14:paraId="16E5A84D" w14:textId="77777777" w:rsidR="008239CE" w:rsidRDefault="007A549D" w:rsidP="005F0568">
            <w:pPr>
              <w:jc w:val="both"/>
            </w:pPr>
            <w:r>
              <w:t>Soudní dvůr</w:t>
            </w:r>
            <w:r w:rsidR="005F0568">
              <w:t xml:space="preserve"> v </w:t>
            </w:r>
            <w:r>
              <w:t>tomto ohledu rozhodl, že právo na každoroční placenou dovolenou nelze vykládat restriktivně.</w:t>
            </w:r>
          </w:p>
          <w:p w14:paraId="03764B09" w14:textId="77777777" w:rsidR="008239CE" w:rsidRDefault="008239CE" w:rsidP="005F0568">
            <w:pPr>
              <w:jc w:val="both"/>
            </w:pPr>
          </w:p>
          <w:p w14:paraId="6C2944D0" w14:textId="77777777" w:rsidR="008239CE" w:rsidRDefault="007A549D" w:rsidP="005F0568">
            <w:pPr>
              <w:jc w:val="both"/>
            </w:pPr>
            <w:r>
              <w:t>V určitých specifických situacích,</w:t>
            </w:r>
            <w:r w:rsidR="005F0568">
              <w:t xml:space="preserve"> v </w:t>
            </w:r>
            <w:r>
              <w:t>nichž není pracovník schopen vykonávat své povinnosti, nemůže členský stát podmiňovat právo na placenou dovolenou za kalendářní rok tím, zda pracovník skutečně pracoval. Totéž platí zejména ve vztahu</w:t>
            </w:r>
            <w:r w:rsidR="005F0568">
              <w:t xml:space="preserve"> k </w:t>
            </w:r>
            <w:r>
              <w:t>pracovníkům, kteří nejsou práci</w:t>
            </w:r>
            <w:r w:rsidR="005F0568">
              <w:t xml:space="preserve"> z </w:t>
            </w:r>
            <w:r>
              <w:t>důvodu nemoci během referenčního období. Jak je zjevné</w:t>
            </w:r>
            <w:r w:rsidR="005F0568">
              <w:t xml:space="preserve"> z </w:t>
            </w:r>
            <w:r>
              <w:t>judikatury Soudního dvora,</w:t>
            </w:r>
            <w:r w:rsidR="005F0568">
              <w:t xml:space="preserve"> s </w:t>
            </w:r>
            <w:r>
              <w:t>ohledem na každoroční placenou dovolenou má být</w:t>
            </w:r>
            <w:r w:rsidR="005F0568">
              <w:t xml:space="preserve"> s </w:t>
            </w:r>
            <w:r>
              <w:t>pracovníky, kteří nejsou</w:t>
            </w:r>
            <w:r w:rsidR="005F0568">
              <w:t xml:space="preserve"> v </w:t>
            </w:r>
            <w:r>
              <w:t>práci kvůli nemoci</w:t>
            </w:r>
            <w:r w:rsidR="005F0568">
              <w:t xml:space="preserve"> v </w:t>
            </w:r>
            <w:r>
              <w:t>referenčním období, zacházeno stejně jako</w:t>
            </w:r>
            <w:r w:rsidR="005F0568">
              <w:t xml:space="preserve"> s </w:t>
            </w:r>
            <w:r>
              <w:t>těmi, kteří během této doby skutečně pracovali.</w:t>
            </w:r>
          </w:p>
          <w:p w14:paraId="0641CC06" w14:textId="77777777" w:rsidR="008239CE" w:rsidRDefault="008239CE" w:rsidP="005F0568">
            <w:pPr>
              <w:jc w:val="both"/>
            </w:pPr>
          </w:p>
          <w:p w14:paraId="253CC5FE" w14:textId="77777777" w:rsidR="008239CE" w:rsidRDefault="007A549D" w:rsidP="005F0568">
            <w:pPr>
              <w:jc w:val="both"/>
            </w:pPr>
            <w:r>
              <w:t>Právo na každoroční dovolenou představuje pouze jeden ze dvou aspektů práva na každoroční placenou dovolenou jako základní zásadu unijního sociálního práva. Dané základní právo rovněž obsahuje právo stejně významné jako právo na „placenou“ dovolenou za kalendářní rok,</w:t>
            </w:r>
            <w:r w:rsidR="005F0568">
              <w:t xml:space="preserve"> a </w:t>
            </w:r>
            <w:r>
              <w:t>to právo na finanční náhradu za nevyčerpanou dovolenou při ukončení pracovního poměru.</w:t>
            </w:r>
          </w:p>
          <w:p w14:paraId="27846383" w14:textId="77777777" w:rsidR="008239CE" w:rsidRDefault="008239CE" w:rsidP="005F0568">
            <w:pPr>
              <w:jc w:val="both"/>
            </w:pPr>
          </w:p>
          <w:p w14:paraId="1CEA61F2" w14:textId="77777777" w:rsidR="008239CE" w:rsidRDefault="007A549D" w:rsidP="005F0568">
            <w:pPr>
              <w:jc w:val="both"/>
            </w:pPr>
            <w:r>
              <w:t>V tomto ohledu není významné,</w:t>
            </w:r>
            <w:r w:rsidR="005F0568">
              <w:t xml:space="preserve"> z </w:t>
            </w:r>
            <w:r>
              <w:t>jakého důvodu pracovní poměr skončil.</w:t>
            </w:r>
          </w:p>
          <w:p w14:paraId="66BC5415" w14:textId="77777777" w:rsidR="008239CE" w:rsidRDefault="008239CE" w:rsidP="005F0568">
            <w:pPr>
              <w:jc w:val="both"/>
            </w:pPr>
          </w:p>
          <w:p w14:paraId="61F29B4B" w14:textId="77777777" w:rsidR="008239CE" w:rsidRDefault="005F0568" w:rsidP="005F0568">
            <w:pPr>
              <w:jc w:val="both"/>
            </w:pPr>
            <w:r>
              <w:t>Čl. </w:t>
            </w:r>
            <w:r w:rsidR="007A549D">
              <w:t>7 odst. 1 směrnice 2003/88/ES</w:t>
            </w:r>
            <w:r>
              <w:t xml:space="preserve"> v </w:t>
            </w:r>
            <w:r w:rsidR="007A549D">
              <w:t>zásadě nezakazuje vnitrostátní legislativu, jež stanoví podmínky pro výkon práva na každoroční placenou dovolenou výslovně uděleného směrnicí, včetně případné ztráty tohoto práva na konci roku, za nějž se dovolená počítá, nebo roku, do nějž byla převedena, pokud přitom takový pracovník, jenž ztratil své právo na každoroční placenou dovolenou, měl skutečně příležitost právo přiznané směrnicí vykonat.</w:t>
            </w:r>
          </w:p>
          <w:p w14:paraId="333C7B24" w14:textId="77777777" w:rsidR="008239CE" w:rsidRDefault="008239CE" w:rsidP="005F0568">
            <w:pPr>
              <w:jc w:val="both"/>
            </w:pPr>
          </w:p>
          <w:p w14:paraId="324CE753" w14:textId="77777777" w:rsidR="008239CE" w:rsidRDefault="007A549D" w:rsidP="005F0568">
            <w:pPr>
              <w:jc w:val="both"/>
            </w:pPr>
            <w:r>
              <w:t>S</w:t>
            </w:r>
            <w:r w:rsidR="005F0568">
              <w:t> </w:t>
            </w:r>
            <w:r>
              <w:t>ohledem na tento cíl,</w:t>
            </w:r>
            <w:r w:rsidR="005F0568">
              <w:t xml:space="preserve"> a </w:t>
            </w:r>
            <w:r>
              <w:t xml:space="preserve">jelikož </w:t>
            </w:r>
            <w:r w:rsidR="005F0568">
              <w:t>čl. </w:t>
            </w:r>
            <w:r>
              <w:t>7 odst. 1 směrnice 2003/88/ES</w:t>
            </w:r>
            <w:r w:rsidR="005F0568">
              <w:t xml:space="preserve"> v </w:t>
            </w:r>
            <w:r>
              <w:t>zásadě nezakazuje vnitrostátní legislativu, jež stanoví podmínky pro výkon práva na každoroční placenou dovolenou výslovně uděleného směrnicí, včetně případné ztráty tohoto práva na konci roku, za nějž se dovolená počítá, nebo roku, do nějž byla převedena, nemůže tato směrnice</w:t>
            </w:r>
            <w:r w:rsidR="005F0568">
              <w:t xml:space="preserve"> z </w:t>
            </w:r>
            <w:r>
              <w:t>podstaty zakázat vnitrostátní ustanovení</w:t>
            </w:r>
            <w:r w:rsidR="005F0568">
              <w:t xml:space="preserve"> o </w:t>
            </w:r>
            <w:r>
              <w:t>tom, že na konci takového období již nevyčerpané dny dovolené za kalendářní rok nemohou být nahrazeny finanční kompenzací, včetně situace, kdy je pracovní poměr následně ukončen, pokud pracovník měl příležitost právo poskytnuté mu touto směrnicí vykonat.</w:t>
            </w:r>
          </w:p>
          <w:p w14:paraId="4B532D6C" w14:textId="77777777" w:rsidR="008239CE" w:rsidRDefault="008239CE" w:rsidP="005F0568">
            <w:pPr>
              <w:jc w:val="both"/>
            </w:pPr>
          </w:p>
          <w:p w14:paraId="51027302" w14:textId="77777777" w:rsidR="008239CE" w:rsidRDefault="007A549D" w:rsidP="005F0568">
            <w:pPr>
              <w:jc w:val="both"/>
            </w:pPr>
            <w:r>
              <w:t>Pokud však pracovník úmyslně nevyčerpal svou dovolenou za kalendářní rok při plné znalosti</w:t>
            </w:r>
            <w:r w:rsidR="005F0568">
              <w:t xml:space="preserve"> z </w:t>
            </w:r>
            <w:r>
              <w:t xml:space="preserve">toho plynoucích důsledků poté, kdy mu byla dána příležitost skutečně své právo vykonat, nebrání </w:t>
            </w:r>
            <w:r w:rsidR="005F0568">
              <w:t>čl. </w:t>
            </w:r>
            <w:r>
              <w:t>31 odst. 2 Listiny ztrátě tohoto práva, nebo</w:t>
            </w:r>
            <w:r w:rsidR="005F0568">
              <w:t xml:space="preserve"> v </w:t>
            </w:r>
            <w:r>
              <w:t>případě ukončení pracovního poměru neposkytnutí náhradního plnění za nevyčerpanou dovolenou, aniž by zaměstnavatel byl povinen nutit pracovníka, aby své právo skutečně vykonal.</w:t>
            </w:r>
          </w:p>
          <w:p w14:paraId="6602E758" w14:textId="77777777" w:rsidR="008239CE" w:rsidRDefault="008239CE" w:rsidP="005F0568">
            <w:pPr>
              <w:jc w:val="both"/>
            </w:pPr>
          </w:p>
          <w:p w14:paraId="18721016" w14:textId="77777777" w:rsidR="008239CE" w:rsidRDefault="008239CE" w:rsidP="005F0568">
            <w:pPr>
              <w:jc w:val="both"/>
              <w:rPr>
                <w:i/>
              </w:rPr>
            </w:pPr>
          </w:p>
        </w:tc>
      </w:tr>
      <w:tr w:rsidR="008239CE" w14:paraId="02C7C587" w14:textId="77777777">
        <w:tc>
          <w:tcPr>
            <w:tcW w:w="8494" w:type="dxa"/>
          </w:tcPr>
          <w:p w14:paraId="269A269B" w14:textId="77777777" w:rsidR="008239CE" w:rsidRDefault="007A549D" w:rsidP="005F0568">
            <w:pPr>
              <w:jc w:val="both"/>
            </w:pPr>
            <w:r>
              <w:rPr>
                <w:b/>
              </w:rPr>
              <w:lastRenderedPageBreak/>
              <w:t>Judikatura SDEU</w:t>
            </w:r>
          </w:p>
        </w:tc>
      </w:tr>
      <w:tr w:rsidR="008239CE" w14:paraId="616D78E3" w14:textId="77777777">
        <w:tc>
          <w:tcPr>
            <w:tcW w:w="8494" w:type="dxa"/>
          </w:tcPr>
          <w:p w14:paraId="44F18EE1" w14:textId="77777777" w:rsidR="008239CE" w:rsidRDefault="008239CE" w:rsidP="005F0568">
            <w:pPr>
              <w:jc w:val="both"/>
            </w:pPr>
          </w:p>
          <w:p w14:paraId="0203287C" w14:textId="77777777" w:rsidR="008239CE" w:rsidRPr="0000743F" w:rsidRDefault="007A549D" w:rsidP="0000743F">
            <w:pPr>
              <w:pStyle w:val="Odstavecseseznamem"/>
              <w:numPr>
                <w:ilvl w:val="0"/>
                <w:numId w:val="6"/>
              </w:numPr>
              <w:pBdr>
                <w:top w:val="nil"/>
                <w:left w:val="nil"/>
                <w:bottom w:val="nil"/>
                <w:right w:val="nil"/>
                <w:between w:val="nil"/>
              </w:pBdr>
              <w:jc w:val="both"/>
              <w:rPr>
                <w:b/>
              </w:rPr>
            </w:pPr>
            <w:r w:rsidRPr="0000743F">
              <w:rPr>
                <w:b/>
                <w:color w:val="000000"/>
              </w:rPr>
              <w:t xml:space="preserve">Rozsudek Soudního dvora (velký senát), C-218/22, 18. ledna 2024, </w:t>
            </w:r>
            <w:r w:rsidRPr="0000743F">
              <w:rPr>
                <w:b/>
                <w:i/>
                <w:iCs/>
                <w:color w:val="000000"/>
              </w:rPr>
              <w:t xml:space="preserve">BU v. </w:t>
            </w:r>
            <w:proofErr w:type="spellStart"/>
            <w:r w:rsidRPr="0000743F">
              <w:rPr>
                <w:b/>
                <w:i/>
                <w:iCs/>
                <w:color w:val="000000"/>
              </w:rPr>
              <w:t>Commune</w:t>
            </w:r>
            <w:proofErr w:type="spellEnd"/>
            <w:r w:rsidRPr="0000743F">
              <w:rPr>
                <w:b/>
                <w:i/>
                <w:iCs/>
                <w:color w:val="000000"/>
              </w:rPr>
              <w:t xml:space="preserve"> Di </w:t>
            </w:r>
            <w:proofErr w:type="spellStart"/>
            <w:r w:rsidRPr="0000743F">
              <w:rPr>
                <w:b/>
                <w:i/>
                <w:iCs/>
                <w:color w:val="000000"/>
              </w:rPr>
              <w:t>Copertino</w:t>
            </w:r>
            <w:proofErr w:type="spellEnd"/>
          </w:p>
          <w:p w14:paraId="4E34BFE3" w14:textId="77777777" w:rsidR="008239CE" w:rsidRDefault="008239CE" w:rsidP="005F0568">
            <w:pPr>
              <w:pBdr>
                <w:top w:val="nil"/>
                <w:left w:val="nil"/>
                <w:bottom w:val="nil"/>
                <w:right w:val="nil"/>
                <w:between w:val="nil"/>
              </w:pBdr>
              <w:ind w:left="720"/>
              <w:jc w:val="both"/>
              <w:rPr>
                <w:color w:val="000000"/>
              </w:rPr>
            </w:pPr>
          </w:p>
          <w:p w14:paraId="58B25310" w14:textId="77777777" w:rsidR="008239CE" w:rsidRPr="00025377" w:rsidRDefault="007A549D" w:rsidP="005F0568">
            <w:pPr>
              <w:jc w:val="both"/>
              <w:rPr>
                <w:i/>
              </w:rPr>
            </w:pPr>
            <w:r w:rsidRPr="00025377">
              <w:rPr>
                <w:i/>
                <w:iCs/>
              </w:rPr>
              <w:t>Klíčové pojmy</w:t>
            </w:r>
            <w:r w:rsidRPr="00025377">
              <w:rPr>
                <w:i/>
              </w:rPr>
              <w:t>: ochrana bezpečnosti</w:t>
            </w:r>
            <w:r w:rsidR="005F0568" w:rsidRPr="00025377">
              <w:rPr>
                <w:i/>
              </w:rPr>
              <w:t xml:space="preserve"> a </w:t>
            </w:r>
            <w:r w:rsidRPr="00025377">
              <w:rPr>
                <w:i/>
              </w:rPr>
              <w:t xml:space="preserve">zdraví pracovníků – každoroční placená dovolená při ukončení pracovního poměru – </w:t>
            </w:r>
            <w:r w:rsidR="005F0568" w:rsidRPr="00025377">
              <w:rPr>
                <w:i/>
              </w:rPr>
              <w:t>čl. </w:t>
            </w:r>
            <w:r w:rsidRPr="00025377">
              <w:rPr>
                <w:i/>
              </w:rPr>
              <w:t>7 odst. 1</w:t>
            </w:r>
            <w:r w:rsidR="005F0568" w:rsidRPr="00025377">
              <w:rPr>
                <w:i/>
              </w:rPr>
              <w:t xml:space="preserve"> a </w:t>
            </w:r>
            <w:r w:rsidRPr="00025377">
              <w:rPr>
                <w:i/>
              </w:rPr>
              <w:t>2 směrnice 2003/88/ES</w:t>
            </w:r>
          </w:p>
          <w:p w14:paraId="4C29775C" w14:textId="77777777" w:rsidR="008239CE" w:rsidRDefault="008239CE" w:rsidP="005F0568">
            <w:pPr>
              <w:jc w:val="both"/>
            </w:pPr>
          </w:p>
          <w:p w14:paraId="6DD4E97F" w14:textId="77777777" w:rsidR="008239CE" w:rsidRDefault="007A549D" w:rsidP="005F0568">
            <w:pPr>
              <w:jc w:val="both"/>
            </w:pPr>
            <w:hyperlink r:id="rId7">
              <w:r>
                <w:rPr>
                  <w:color w:val="0000FF"/>
                  <w:u w:val="single"/>
                </w:rPr>
                <w:t xml:space="preserve">EUR-Lex – </w:t>
              </w:r>
              <w:proofErr w:type="gramStart"/>
              <w:r>
                <w:rPr>
                  <w:color w:val="0000FF"/>
                  <w:u w:val="single"/>
                </w:rPr>
                <w:t>62022CJ0218 - EN</w:t>
              </w:r>
              <w:proofErr w:type="gramEnd"/>
              <w:r>
                <w:rPr>
                  <w:color w:val="0000FF"/>
                  <w:u w:val="single"/>
                </w:rPr>
                <w:t xml:space="preserve"> - EUR-Lex (europa.eu)</w:t>
              </w:r>
            </w:hyperlink>
          </w:p>
          <w:p w14:paraId="1C0EAE9E" w14:textId="77777777" w:rsidR="008239CE" w:rsidRDefault="008239CE" w:rsidP="005F0568">
            <w:pPr>
              <w:jc w:val="both"/>
            </w:pPr>
          </w:p>
          <w:p w14:paraId="7A4D9213" w14:textId="77777777" w:rsidR="008239CE" w:rsidRDefault="008239CE" w:rsidP="005F0568">
            <w:pPr>
              <w:jc w:val="both"/>
            </w:pPr>
          </w:p>
          <w:p w14:paraId="0CE9E954" w14:textId="77777777" w:rsidR="008239CE" w:rsidRPr="0000743F" w:rsidRDefault="007A549D" w:rsidP="0000743F">
            <w:pPr>
              <w:pStyle w:val="Odstavecseseznamem"/>
              <w:numPr>
                <w:ilvl w:val="0"/>
                <w:numId w:val="6"/>
              </w:numPr>
              <w:pBdr>
                <w:top w:val="nil"/>
                <w:left w:val="nil"/>
                <w:bottom w:val="nil"/>
                <w:right w:val="nil"/>
                <w:between w:val="nil"/>
              </w:pBdr>
              <w:jc w:val="both"/>
              <w:rPr>
                <w:b/>
              </w:rPr>
            </w:pPr>
            <w:r w:rsidRPr="0000743F">
              <w:rPr>
                <w:b/>
                <w:color w:val="000000"/>
              </w:rPr>
              <w:t xml:space="preserve">Rozsudek Soudního dvora (velký senát), C-477/21, 2. března 2023, </w:t>
            </w:r>
            <w:r w:rsidRPr="0000743F">
              <w:rPr>
                <w:b/>
                <w:i/>
                <w:iCs/>
                <w:color w:val="000000"/>
              </w:rPr>
              <w:t xml:space="preserve">IH v. </w:t>
            </w:r>
            <w:proofErr w:type="spellStart"/>
            <w:r w:rsidRPr="0000743F">
              <w:rPr>
                <w:b/>
                <w:i/>
                <w:iCs/>
                <w:color w:val="000000"/>
              </w:rPr>
              <w:t>Mav</w:t>
            </w:r>
            <w:proofErr w:type="spellEnd"/>
            <w:r w:rsidRPr="0000743F">
              <w:rPr>
                <w:b/>
                <w:i/>
                <w:iCs/>
                <w:color w:val="000000"/>
              </w:rPr>
              <w:t>-start</w:t>
            </w:r>
            <w:r w:rsidRPr="0000743F">
              <w:rPr>
                <w:b/>
                <w:color w:val="000000"/>
              </w:rPr>
              <w:t xml:space="preserve"> </w:t>
            </w:r>
          </w:p>
          <w:p w14:paraId="04A8E9E6" w14:textId="77777777" w:rsidR="008239CE" w:rsidRDefault="008239CE" w:rsidP="005F0568">
            <w:pPr>
              <w:jc w:val="both"/>
              <w:rPr>
                <w:i/>
              </w:rPr>
            </w:pPr>
          </w:p>
          <w:p w14:paraId="5F21E0BD" w14:textId="77777777" w:rsidR="008239CE" w:rsidRPr="00025377" w:rsidRDefault="007A549D" w:rsidP="005F0568">
            <w:pPr>
              <w:jc w:val="both"/>
              <w:rPr>
                <w:i/>
              </w:rPr>
            </w:pPr>
            <w:r w:rsidRPr="00025377">
              <w:rPr>
                <w:i/>
                <w:iCs/>
              </w:rPr>
              <w:t>Klíčové pojmy</w:t>
            </w:r>
            <w:r w:rsidRPr="00025377">
              <w:rPr>
                <w:i/>
              </w:rPr>
              <w:t>: ochrana bezpečnosti</w:t>
            </w:r>
            <w:r w:rsidR="005F0568" w:rsidRPr="00025377">
              <w:rPr>
                <w:i/>
              </w:rPr>
              <w:t xml:space="preserve"> a </w:t>
            </w:r>
            <w:r w:rsidRPr="00025377">
              <w:rPr>
                <w:i/>
              </w:rPr>
              <w:t>zdraví pracovníků – úprava pracovní doby – denní odpočinek</w:t>
            </w:r>
            <w:r w:rsidR="005F0568" w:rsidRPr="00025377">
              <w:rPr>
                <w:i/>
              </w:rPr>
              <w:t xml:space="preserve"> a </w:t>
            </w:r>
            <w:r w:rsidRPr="00025377">
              <w:rPr>
                <w:i/>
              </w:rPr>
              <w:t>týdenní doba odpočinku – článek 5 směrnice 2003/88/ES</w:t>
            </w:r>
          </w:p>
          <w:p w14:paraId="31B797BD" w14:textId="77777777" w:rsidR="008239CE" w:rsidRDefault="008239CE" w:rsidP="005F0568">
            <w:pPr>
              <w:jc w:val="both"/>
            </w:pPr>
          </w:p>
          <w:p w14:paraId="6B4508C5" w14:textId="77777777" w:rsidR="008239CE" w:rsidRDefault="007A549D" w:rsidP="005F0568">
            <w:pPr>
              <w:jc w:val="both"/>
            </w:pPr>
            <w:hyperlink r:id="rId8">
              <w:r>
                <w:rPr>
                  <w:color w:val="0000FF"/>
                  <w:u w:val="single"/>
                </w:rPr>
                <w:t xml:space="preserve">EUR-Lex – </w:t>
              </w:r>
              <w:proofErr w:type="gramStart"/>
              <w:r>
                <w:rPr>
                  <w:color w:val="0000FF"/>
                  <w:u w:val="single"/>
                </w:rPr>
                <w:t>62021CJ0477 - EN</w:t>
              </w:r>
              <w:proofErr w:type="gramEnd"/>
              <w:r>
                <w:rPr>
                  <w:color w:val="0000FF"/>
                  <w:u w:val="single"/>
                </w:rPr>
                <w:t xml:space="preserve"> - EUR-Lex (europa.eu)</w:t>
              </w:r>
            </w:hyperlink>
          </w:p>
          <w:p w14:paraId="526E68F9" w14:textId="77777777" w:rsidR="008239CE" w:rsidRDefault="008239CE" w:rsidP="005F0568">
            <w:pPr>
              <w:jc w:val="both"/>
            </w:pPr>
          </w:p>
          <w:p w14:paraId="70BDF896" w14:textId="77777777" w:rsidR="007A549D" w:rsidRDefault="007A549D" w:rsidP="005F0568">
            <w:pPr>
              <w:pBdr>
                <w:top w:val="nil"/>
                <w:left w:val="nil"/>
                <w:bottom w:val="nil"/>
                <w:right w:val="nil"/>
                <w:between w:val="nil"/>
              </w:pBdr>
              <w:ind w:left="720"/>
              <w:jc w:val="both"/>
            </w:pPr>
          </w:p>
          <w:p w14:paraId="42F6946B" w14:textId="77777777" w:rsidR="008239CE" w:rsidRPr="0000743F" w:rsidRDefault="007A549D" w:rsidP="0000743F">
            <w:pPr>
              <w:pStyle w:val="Odstavecseseznamem"/>
              <w:numPr>
                <w:ilvl w:val="0"/>
                <w:numId w:val="6"/>
              </w:numPr>
              <w:pBdr>
                <w:top w:val="nil"/>
                <w:left w:val="nil"/>
                <w:bottom w:val="nil"/>
                <w:right w:val="nil"/>
                <w:between w:val="nil"/>
              </w:pBdr>
              <w:jc w:val="both"/>
              <w:rPr>
                <w:b/>
              </w:rPr>
            </w:pPr>
            <w:r w:rsidRPr="0000743F">
              <w:rPr>
                <w:b/>
                <w:color w:val="000000"/>
              </w:rPr>
              <w:t xml:space="preserve">Rozsudek Soudního dvora (velký senát), C-344/19, 9. března 2021, </w:t>
            </w:r>
            <w:r w:rsidRPr="0000743F">
              <w:rPr>
                <w:b/>
                <w:i/>
                <w:iCs/>
                <w:color w:val="000000"/>
              </w:rPr>
              <w:t xml:space="preserve">D.J. v. </w:t>
            </w:r>
            <w:proofErr w:type="spellStart"/>
            <w:r w:rsidRPr="0000743F">
              <w:rPr>
                <w:b/>
                <w:i/>
                <w:iCs/>
                <w:color w:val="000000"/>
              </w:rPr>
              <w:t>Radioteleviza</w:t>
            </w:r>
            <w:proofErr w:type="spellEnd"/>
            <w:r w:rsidRPr="0000743F">
              <w:rPr>
                <w:b/>
                <w:i/>
                <w:iCs/>
                <w:color w:val="000000"/>
              </w:rPr>
              <w:t xml:space="preserve"> </w:t>
            </w:r>
            <w:proofErr w:type="spellStart"/>
            <w:r w:rsidRPr="0000743F">
              <w:rPr>
                <w:b/>
                <w:i/>
                <w:iCs/>
                <w:color w:val="000000"/>
              </w:rPr>
              <w:t>Slovenija</w:t>
            </w:r>
            <w:proofErr w:type="spellEnd"/>
          </w:p>
          <w:p w14:paraId="08A8A584" w14:textId="77777777" w:rsidR="008239CE" w:rsidRDefault="008239CE" w:rsidP="005F0568">
            <w:pPr>
              <w:pBdr>
                <w:top w:val="nil"/>
                <w:left w:val="nil"/>
                <w:bottom w:val="nil"/>
                <w:right w:val="nil"/>
                <w:between w:val="nil"/>
              </w:pBdr>
              <w:ind w:left="720"/>
              <w:jc w:val="both"/>
              <w:rPr>
                <w:color w:val="000000"/>
              </w:rPr>
            </w:pPr>
          </w:p>
          <w:p w14:paraId="48E267DC" w14:textId="77777777" w:rsidR="008239CE" w:rsidRPr="00025377" w:rsidRDefault="007A549D" w:rsidP="005F0568">
            <w:pPr>
              <w:jc w:val="both"/>
              <w:rPr>
                <w:i/>
              </w:rPr>
            </w:pPr>
            <w:r w:rsidRPr="00025377">
              <w:rPr>
                <w:i/>
                <w:iCs/>
              </w:rPr>
              <w:t>Klíčové pojmy</w:t>
            </w:r>
            <w:r w:rsidRPr="00025377">
              <w:rPr>
                <w:i/>
              </w:rPr>
              <w:t>: ochrana bezpečnosti</w:t>
            </w:r>
            <w:r w:rsidR="005F0568" w:rsidRPr="00025377">
              <w:rPr>
                <w:i/>
              </w:rPr>
              <w:t xml:space="preserve"> a </w:t>
            </w:r>
            <w:r w:rsidRPr="00025377">
              <w:rPr>
                <w:i/>
              </w:rPr>
              <w:t>zdraví pracovníků – úprava pracovní doby; zda doba pracovní pohotovosti</w:t>
            </w:r>
            <w:r w:rsidR="005F0568" w:rsidRPr="00025377">
              <w:rPr>
                <w:i/>
              </w:rPr>
              <w:t xml:space="preserve"> v </w:t>
            </w:r>
            <w:r w:rsidRPr="00025377">
              <w:rPr>
                <w:i/>
              </w:rPr>
              <w:t xml:space="preserve">režimu pracovní pohotovosti na zavolání představuje pracovní dobu či nikoli – </w:t>
            </w:r>
            <w:r w:rsidR="005F0568" w:rsidRPr="00025377">
              <w:rPr>
                <w:i/>
              </w:rPr>
              <w:t>čl. </w:t>
            </w:r>
            <w:r w:rsidRPr="00025377">
              <w:rPr>
                <w:i/>
              </w:rPr>
              <w:t xml:space="preserve">2 odst. 1 směrnice 2003/88/ES </w:t>
            </w:r>
          </w:p>
          <w:p w14:paraId="30B73186" w14:textId="77777777" w:rsidR="008239CE" w:rsidRDefault="008239CE" w:rsidP="005F0568">
            <w:pPr>
              <w:jc w:val="both"/>
            </w:pPr>
          </w:p>
          <w:p w14:paraId="7EF3A9E8" w14:textId="77777777" w:rsidR="008239CE" w:rsidRDefault="007A549D" w:rsidP="005F0568">
            <w:pPr>
              <w:jc w:val="both"/>
              <w:rPr>
                <w:color w:val="0000FF"/>
                <w:u w:val="single"/>
              </w:rPr>
            </w:pPr>
            <w:hyperlink r:id="rId9">
              <w:r>
                <w:rPr>
                  <w:color w:val="0000FF"/>
                  <w:u w:val="single"/>
                </w:rPr>
                <w:t xml:space="preserve">EUR-Lex – </w:t>
              </w:r>
              <w:proofErr w:type="gramStart"/>
              <w:r>
                <w:rPr>
                  <w:color w:val="0000FF"/>
                  <w:u w:val="single"/>
                </w:rPr>
                <w:t>62019CJ0344 - EN</w:t>
              </w:r>
              <w:proofErr w:type="gramEnd"/>
              <w:r>
                <w:rPr>
                  <w:color w:val="0000FF"/>
                  <w:u w:val="single"/>
                </w:rPr>
                <w:t xml:space="preserve"> - EUR-Lex (europa.eu)</w:t>
              </w:r>
            </w:hyperlink>
          </w:p>
          <w:p w14:paraId="64CA2D61" w14:textId="77777777" w:rsidR="008239CE" w:rsidRDefault="008239CE" w:rsidP="005F0568">
            <w:pPr>
              <w:jc w:val="both"/>
            </w:pPr>
          </w:p>
          <w:p w14:paraId="3B3BC512" w14:textId="77777777" w:rsidR="007A549D" w:rsidRDefault="007A549D" w:rsidP="005F0568">
            <w:pPr>
              <w:pBdr>
                <w:top w:val="nil"/>
                <w:left w:val="nil"/>
                <w:bottom w:val="nil"/>
                <w:right w:val="nil"/>
                <w:between w:val="nil"/>
              </w:pBdr>
              <w:jc w:val="both"/>
              <w:rPr>
                <w:b/>
                <w:color w:val="000000"/>
              </w:rPr>
            </w:pPr>
          </w:p>
          <w:p w14:paraId="7F040D6A" w14:textId="77777777" w:rsidR="008239CE" w:rsidRPr="0000743F" w:rsidRDefault="007A549D" w:rsidP="0000743F">
            <w:pPr>
              <w:pStyle w:val="Odstavecseseznamem"/>
              <w:numPr>
                <w:ilvl w:val="0"/>
                <w:numId w:val="6"/>
              </w:numPr>
              <w:pBdr>
                <w:top w:val="nil"/>
                <w:left w:val="nil"/>
                <w:bottom w:val="nil"/>
                <w:right w:val="nil"/>
                <w:between w:val="nil"/>
              </w:pBdr>
              <w:jc w:val="both"/>
              <w:rPr>
                <w:b/>
              </w:rPr>
            </w:pPr>
            <w:r w:rsidRPr="0000743F">
              <w:rPr>
                <w:b/>
                <w:color w:val="000000"/>
              </w:rPr>
              <w:t>Rozsudek Soudního dvora (velký senát), C-119/19</w:t>
            </w:r>
            <w:r w:rsidR="005F0568" w:rsidRPr="0000743F">
              <w:rPr>
                <w:b/>
                <w:color w:val="000000"/>
              </w:rPr>
              <w:t xml:space="preserve"> a </w:t>
            </w:r>
            <w:r w:rsidRPr="0000743F">
              <w:rPr>
                <w:b/>
                <w:color w:val="000000"/>
              </w:rPr>
              <w:t xml:space="preserve">C-126/19, 8. září 2020, </w:t>
            </w:r>
            <w:r w:rsidRPr="0000743F">
              <w:rPr>
                <w:b/>
                <w:i/>
                <w:iCs/>
                <w:color w:val="000000"/>
              </w:rPr>
              <w:t>Komise</w:t>
            </w:r>
            <w:r w:rsidR="005F0568" w:rsidRPr="0000743F">
              <w:rPr>
                <w:b/>
                <w:i/>
                <w:iCs/>
                <w:color w:val="000000"/>
              </w:rPr>
              <w:t xml:space="preserve"> a </w:t>
            </w:r>
            <w:r w:rsidRPr="0000743F">
              <w:rPr>
                <w:b/>
                <w:i/>
                <w:iCs/>
                <w:color w:val="000000"/>
              </w:rPr>
              <w:t xml:space="preserve">Rada v. Francisco </w:t>
            </w:r>
            <w:proofErr w:type="spellStart"/>
            <w:r w:rsidRPr="0000743F">
              <w:rPr>
                <w:b/>
                <w:i/>
                <w:iCs/>
                <w:color w:val="000000"/>
              </w:rPr>
              <w:t>Carreras</w:t>
            </w:r>
            <w:proofErr w:type="spellEnd"/>
            <w:r w:rsidRPr="0000743F">
              <w:rPr>
                <w:b/>
                <w:i/>
                <w:iCs/>
                <w:color w:val="000000"/>
              </w:rPr>
              <w:t xml:space="preserve"> </w:t>
            </w:r>
            <w:proofErr w:type="spellStart"/>
            <w:r w:rsidRPr="0000743F">
              <w:rPr>
                <w:b/>
                <w:i/>
                <w:iCs/>
                <w:color w:val="000000"/>
              </w:rPr>
              <w:t>Sequeros</w:t>
            </w:r>
            <w:proofErr w:type="spellEnd"/>
            <w:r w:rsidRPr="0000743F">
              <w:rPr>
                <w:b/>
                <w:i/>
                <w:iCs/>
                <w:color w:val="000000"/>
              </w:rPr>
              <w:t xml:space="preserve"> </w:t>
            </w:r>
            <w:proofErr w:type="spellStart"/>
            <w:r w:rsidRPr="0000743F">
              <w:rPr>
                <w:b/>
                <w:i/>
                <w:iCs/>
                <w:color w:val="000000"/>
              </w:rPr>
              <w:t>e.a</w:t>
            </w:r>
            <w:proofErr w:type="spellEnd"/>
            <w:r w:rsidRPr="0000743F">
              <w:rPr>
                <w:b/>
                <w:i/>
                <w:iCs/>
                <w:color w:val="000000"/>
              </w:rPr>
              <w:t>.</w:t>
            </w:r>
          </w:p>
          <w:p w14:paraId="59839F75" w14:textId="77777777" w:rsidR="008239CE" w:rsidRDefault="008239CE" w:rsidP="005F0568">
            <w:pPr>
              <w:pBdr>
                <w:top w:val="nil"/>
                <w:left w:val="nil"/>
                <w:bottom w:val="nil"/>
                <w:right w:val="nil"/>
                <w:between w:val="nil"/>
              </w:pBdr>
              <w:ind w:left="720"/>
              <w:jc w:val="both"/>
              <w:rPr>
                <w:color w:val="000000"/>
              </w:rPr>
            </w:pPr>
          </w:p>
          <w:p w14:paraId="29892066" w14:textId="77777777" w:rsidR="008239CE" w:rsidRPr="00025377" w:rsidRDefault="007A549D" w:rsidP="005F0568">
            <w:pPr>
              <w:jc w:val="both"/>
              <w:rPr>
                <w:i/>
              </w:rPr>
            </w:pPr>
            <w:r w:rsidRPr="00025377">
              <w:rPr>
                <w:i/>
                <w:iCs/>
              </w:rPr>
              <w:t>Klíčové pojmy</w:t>
            </w:r>
            <w:r w:rsidRPr="00025377">
              <w:rPr>
                <w:i/>
              </w:rPr>
              <w:t>: ochrana bezpečnosti</w:t>
            </w:r>
            <w:r w:rsidR="005F0568" w:rsidRPr="00025377">
              <w:rPr>
                <w:i/>
              </w:rPr>
              <w:t xml:space="preserve"> a </w:t>
            </w:r>
            <w:r w:rsidRPr="00025377">
              <w:rPr>
                <w:i/>
              </w:rPr>
              <w:t>zdraví pracovníků – právo na placenou dovolenou za kalendářní rok – úředníci</w:t>
            </w:r>
            <w:r w:rsidR="005F0568" w:rsidRPr="00025377">
              <w:rPr>
                <w:i/>
              </w:rPr>
              <w:t xml:space="preserve"> a </w:t>
            </w:r>
            <w:r w:rsidRPr="00025377">
              <w:rPr>
                <w:i/>
              </w:rPr>
              <w:t>zaměstnanci vykonávající služební povinnosti</w:t>
            </w:r>
            <w:r w:rsidR="005F0568" w:rsidRPr="00025377">
              <w:rPr>
                <w:i/>
              </w:rPr>
              <w:t xml:space="preserve"> v </w:t>
            </w:r>
            <w:r w:rsidRPr="00025377">
              <w:rPr>
                <w:i/>
              </w:rPr>
              <w:t xml:space="preserve">třetí zemi – nová ustanovení týkající se přiznání dnů placené dovolené za kalendářní rok – </w:t>
            </w:r>
            <w:r w:rsidR="005F0568" w:rsidRPr="00025377">
              <w:rPr>
                <w:i/>
              </w:rPr>
              <w:t>čl. </w:t>
            </w:r>
            <w:r w:rsidRPr="00025377">
              <w:rPr>
                <w:i/>
              </w:rPr>
              <w:t>7 odst. 1 směrnice 2003/88/ES</w:t>
            </w:r>
          </w:p>
          <w:p w14:paraId="0CACBB2E" w14:textId="77777777" w:rsidR="008239CE" w:rsidRDefault="008239CE" w:rsidP="005F0568">
            <w:pPr>
              <w:jc w:val="both"/>
            </w:pPr>
          </w:p>
          <w:p w14:paraId="59958A2F" w14:textId="77777777" w:rsidR="008239CE" w:rsidRDefault="007A549D" w:rsidP="005F0568">
            <w:pPr>
              <w:jc w:val="both"/>
            </w:pPr>
            <w:hyperlink r:id="rId10">
              <w:r>
                <w:rPr>
                  <w:color w:val="0000FF"/>
                  <w:u w:val="single"/>
                </w:rPr>
                <w:t>https://curia.europa.eu/juris/liste.jsf?num=C-119/19&amp;language=FR</w:t>
              </w:r>
            </w:hyperlink>
          </w:p>
          <w:p w14:paraId="58E308EF" w14:textId="77777777" w:rsidR="008239CE" w:rsidRDefault="008239CE" w:rsidP="005F0568">
            <w:pPr>
              <w:jc w:val="both"/>
            </w:pPr>
          </w:p>
          <w:p w14:paraId="18DAAD31" w14:textId="77777777" w:rsidR="008239CE" w:rsidRDefault="008239CE" w:rsidP="005F0568">
            <w:pPr>
              <w:jc w:val="both"/>
            </w:pPr>
          </w:p>
          <w:p w14:paraId="1832E7A7" w14:textId="77777777" w:rsidR="008239CE" w:rsidRPr="0000743F" w:rsidRDefault="007A549D" w:rsidP="0000743F">
            <w:pPr>
              <w:pStyle w:val="Odstavecseseznamem"/>
              <w:numPr>
                <w:ilvl w:val="0"/>
                <w:numId w:val="6"/>
              </w:numPr>
              <w:pBdr>
                <w:top w:val="nil"/>
                <w:left w:val="nil"/>
                <w:bottom w:val="nil"/>
                <w:right w:val="nil"/>
                <w:between w:val="nil"/>
              </w:pBdr>
              <w:jc w:val="both"/>
              <w:rPr>
                <w:b/>
              </w:rPr>
            </w:pPr>
            <w:r w:rsidRPr="0000743F">
              <w:rPr>
                <w:b/>
                <w:color w:val="000000"/>
              </w:rPr>
              <w:t xml:space="preserve">Rozsudek Soudního dvora (velký senát), C-55/18, 14. května 2019, </w:t>
            </w:r>
            <w:proofErr w:type="spellStart"/>
            <w:r w:rsidRPr="0000743F">
              <w:rPr>
                <w:b/>
                <w:i/>
                <w:iCs/>
                <w:color w:val="000000"/>
              </w:rPr>
              <w:t>Federación</w:t>
            </w:r>
            <w:proofErr w:type="spellEnd"/>
            <w:r w:rsidRPr="0000743F">
              <w:rPr>
                <w:b/>
                <w:i/>
                <w:iCs/>
                <w:color w:val="000000"/>
              </w:rPr>
              <w:t xml:space="preserve"> de </w:t>
            </w:r>
            <w:proofErr w:type="spellStart"/>
            <w:r w:rsidRPr="0000743F">
              <w:rPr>
                <w:b/>
                <w:i/>
                <w:iCs/>
                <w:color w:val="000000"/>
              </w:rPr>
              <w:t>Servicios</w:t>
            </w:r>
            <w:proofErr w:type="spellEnd"/>
            <w:r w:rsidRPr="0000743F">
              <w:rPr>
                <w:b/>
                <w:i/>
                <w:iCs/>
                <w:color w:val="000000"/>
              </w:rPr>
              <w:t xml:space="preserve"> de </w:t>
            </w:r>
            <w:proofErr w:type="spellStart"/>
            <w:r w:rsidRPr="0000743F">
              <w:rPr>
                <w:b/>
                <w:i/>
                <w:iCs/>
                <w:color w:val="000000"/>
              </w:rPr>
              <w:t>Comisiones</w:t>
            </w:r>
            <w:proofErr w:type="spellEnd"/>
            <w:r w:rsidRPr="0000743F">
              <w:rPr>
                <w:b/>
                <w:i/>
                <w:iCs/>
                <w:color w:val="000000"/>
              </w:rPr>
              <w:t xml:space="preserve"> </w:t>
            </w:r>
            <w:proofErr w:type="spellStart"/>
            <w:r w:rsidRPr="0000743F">
              <w:rPr>
                <w:b/>
                <w:i/>
                <w:iCs/>
                <w:color w:val="000000"/>
              </w:rPr>
              <w:t>Obreras</w:t>
            </w:r>
            <w:proofErr w:type="spellEnd"/>
            <w:r w:rsidRPr="0000743F">
              <w:rPr>
                <w:b/>
                <w:i/>
                <w:iCs/>
                <w:color w:val="000000"/>
              </w:rPr>
              <w:t xml:space="preserve"> (CCOO) v. </w:t>
            </w:r>
            <w:proofErr w:type="spellStart"/>
            <w:r w:rsidRPr="0000743F">
              <w:rPr>
                <w:b/>
                <w:i/>
                <w:iCs/>
                <w:color w:val="000000"/>
              </w:rPr>
              <w:t>Deutsche</w:t>
            </w:r>
            <w:proofErr w:type="spellEnd"/>
            <w:r w:rsidRPr="0000743F">
              <w:rPr>
                <w:b/>
                <w:i/>
                <w:iCs/>
                <w:color w:val="000000"/>
              </w:rPr>
              <w:t xml:space="preserve"> Bank SAE</w:t>
            </w:r>
          </w:p>
          <w:p w14:paraId="73EDA3A4" w14:textId="77777777" w:rsidR="008239CE" w:rsidRDefault="008239CE" w:rsidP="005F0568">
            <w:pPr>
              <w:jc w:val="both"/>
            </w:pPr>
          </w:p>
          <w:p w14:paraId="7EABD0B2" w14:textId="77777777" w:rsidR="008239CE" w:rsidRPr="00025377" w:rsidRDefault="007A549D" w:rsidP="005F0568">
            <w:pPr>
              <w:jc w:val="both"/>
              <w:rPr>
                <w:i/>
              </w:rPr>
            </w:pPr>
            <w:r w:rsidRPr="00025377">
              <w:rPr>
                <w:i/>
                <w:iCs/>
              </w:rPr>
              <w:t>Klíčové pojmy:</w:t>
            </w:r>
            <w:r w:rsidRPr="00025377">
              <w:rPr>
                <w:i/>
              </w:rPr>
              <w:t xml:space="preserve"> ochrana bezpečnosti</w:t>
            </w:r>
            <w:r w:rsidR="005F0568" w:rsidRPr="00025377">
              <w:rPr>
                <w:i/>
              </w:rPr>
              <w:t xml:space="preserve"> a </w:t>
            </w:r>
            <w:r w:rsidRPr="00025377">
              <w:rPr>
                <w:i/>
              </w:rPr>
              <w:t>zdraví pracovníků – úprava pracovní doby – nutnost dodržování minimální denní</w:t>
            </w:r>
            <w:r w:rsidR="005F0568" w:rsidRPr="00025377">
              <w:rPr>
                <w:i/>
              </w:rPr>
              <w:t xml:space="preserve"> a </w:t>
            </w:r>
            <w:r w:rsidRPr="00025377">
              <w:rPr>
                <w:i/>
              </w:rPr>
              <w:t>týdenní doby odpočinku</w:t>
            </w:r>
            <w:r w:rsidR="005F0568" w:rsidRPr="00025377">
              <w:rPr>
                <w:i/>
              </w:rPr>
              <w:t xml:space="preserve"> a </w:t>
            </w:r>
            <w:r w:rsidRPr="00025377">
              <w:rPr>
                <w:i/>
              </w:rPr>
              <w:t>zabránění maximální délky týdenní pracovní doby – povinnost zavést systém, jehož prostřednictvím lze měřit délku denní</w:t>
            </w:r>
            <w:r w:rsidR="005F0568" w:rsidRPr="00025377">
              <w:rPr>
                <w:i/>
              </w:rPr>
              <w:t xml:space="preserve"> i </w:t>
            </w:r>
            <w:r w:rsidRPr="00025377">
              <w:rPr>
                <w:i/>
              </w:rPr>
              <w:t>týdenní pracovní doby každého pracovníka – směrnice 2003/88/ES</w:t>
            </w:r>
          </w:p>
          <w:p w14:paraId="20724243" w14:textId="77777777" w:rsidR="008239CE" w:rsidRDefault="008239CE" w:rsidP="005F0568">
            <w:pPr>
              <w:jc w:val="both"/>
            </w:pPr>
          </w:p>
          <w:p w14:paraId="5A64D915" w14:textId="77777777" w:rsidR="008239CE" w:rsidRDefault="007A549D" w:rsidP="005F0568">
            <w:pPr>
              <w:jc w:val="both"/>
            </w:pPr>
            <w:hyperlink r:id="rId11">
              <w:r>
                <w:rPr>
                  <w:color w:val="0000FF"/>
                  <w:u w:val="single"/>
                </w:rPr>
                <w:t xml:space="preserve">CURIA – Liste des </w:t>
              </w:r>
              <w:proofErr w:type="spellStart"/>
              <w:r>
                <w:rPr>
                  <w:color w:val="0000FF"/>
                  <w:u w:val="single"/>
                </w:rPr>
                <w:t>résultats</w:t>
              </w:r>
              <w:proofErr w:type="spellEnd"/>
              <w:r>
                <w:rPr>
                  <w:color w:val="0000FF"/>
                  <w:u w:val="single"/>
                </w:rPr>
                <w:t xml:space="preserve"> (europa.eu)</w:t>
              </w:r>
            </w:hyperlink>
          </w:p>
          <w:p w14:paraId="69E8E52D" w14:textId="77777777" w:rsidR="008239CE" w:rsidRDefault="008239CE" w:rsidP="005F0568">
            <w:pPr>
              <w:jc w:val="both"/>
            </w:pPr>
          </w:p>
          <w:p w14:paraId="26ACD46E" w14:textId="77777777" w:rsidR="007A549D" w:rsidRDefault="007A549D" w:rsidP="005F0568">
            <w:pPr>
              <w:pBdr>
                <w:top w:val="nil"/>
                <w:left w:val="nil"/>
                <w:bottom w:val="nil"/>
                <w:right w:val="nil"/>
                <w:between w:val="nil"/>
              </w:pBdr>
              <w:jc w:val="both"/>
              <w:rPr>
                <w:color w:val="000000"/>
              </w:rPr>
            </w:pPr>
          </w:p>
          <w:p w14:paraId="4F5E34B6" w14:textId="77777777" w:rsidR="008239CE" w:rsidRPr="0000743F" w:rsidRDefault="007A549D" w:rsidP="0000743F">
            <w:pPr>
              <w:pStyle w:val="Odstavecseseznamem"/>
              <w:numPr>
                <w:ilvl w:val="0"/>
                <w:numId w:val="6"/>
              </w:numPr>
              <w:pBdr>
                <w:top w:val="nil"/>
                <w:left w:val="nil"/>
                <w:bottom w:val="nil"/>
                <w:right w:val="nil"/>
                <w:between w:val="nil"/>
              </w:pBdr>
              <w:jc w:val="both"/>
              <w:rPr>
                <w:b/>
              </w:rPr>
            </w:pPr>
            <w:r w:rsidRPr="0000743F">
              <w:rPr>
                <w:b/>
                <w:color w:val="000000"/>
              </w:rPr>
              <w:t>Rozsudek Soudního dvora (velký senát), C-762/18</w:t>
            </w:r>
            <w:r w:rsidR="005F0568" w:rsidRPr="0000743F">
              <w:rPr>
                <w:b/>
                <w:color w:val="000000"/>
              </w:rPr>
              <w:t xml:space="preserve"> a </w:t>
            </w:r>
            <w:r w:rsidRPr="0000743F">
              <w:rPr>
                <w:b/>
                <w:color w:val="000000"/>
              </w:rPr>
              <w:t xml:space="preserve">C 37/19, 25. června 2020, </w:t>
            </w:r>
            <w:r w:rsidRPr="0000743F">
              <w:rPr>
                <w:b/>
                <w:i/>
                <w:iCs/>
                <w:color w:val="000000"/>
              </w:rPr>
              <w:t xml:space="preserve">QH v. </w:t>
            </w:r>
            <w:proofErr w:type="spellStart"/>
            <w:r w:rsidRPr="0000743F">
              <w:rPr>
                <w:b/>
                <w:i/>
                <w:iCs/>
                <w:color w:val="000000"/>
              </w:rPr>
              <w:t>Varhoven</w:t>
            </w:r>
            <w:proofErr w:type="spellEnd"/>
            <w:r w:rsidRPr="0000743F">
              <w:rPr>
                <w:b/>
                <w:i/>
                <w:iCs/>
                <w:color w:val="000000"/>
              </w:rPr>
              <w:t xml:space="preserve"> </w:t>
            </w:r>
            <w:proofErr w:type="spellStart"/>
            <w:r w:rsidRPr="0000743F">
              <w:rPr>
                <w:b/>
                <w:i/>
                <w:iCs/>
                <w:color w:val="000000"/>
              </w:rPr>
              <w:t>kasatsionen</w:t>
            </w:r>
            <w:proofErr w:type="spellEnd"/>
            <w:r w:rsidRPr="0000743F">
              <w:rPr>
                <w:b/>
                <w:i/>
                <w:iCs/>
                <w:color w:val="000000"/>
              </w:rPr>
              <w:t xml:space="preserve"> sad na Republika </w:t>
            </w:r>
            <w:proofErr w:type="spellStart"/>
            <w:r w:rsidRPr="0000743F">
              <w:rPr>
                <w:b/>
                <w:i/>
                <w:iCs/>
                <w:color w:val="000000"/>
              </w:rPr>
              <w:t>Bulgaria</w:t>
            </w:r>
            <w:proofErr w:type="spellEnd"/>
            <w:r w:rsidRPr="0000743F">
              <w:rPr>
                <w:b/>
                <w:color w:val="000000"/>
              </w:rPr>
              <w:t xml:space="preserve"> </w:t>
            </w:r>
          </w:p>
          <w:p w14:paraId="6C18FF29" w14:textId="77777777" w:rsidR="008239CE" w:rsidRDefault="008239CE" w:rsidP="005F0568">
            <w:pPr>
              <w:pBdr>
                <w:top w:val="nil"/>
                <w:left w:val="nil"/>
                <w:bottom w:val="nil"/>
                <w:right w:val="nil"/>
                <w:between w:val="nil"/>
              </w:pBdr>
              <w:ind w:left="720"/>
              <w:jc w:val="both"/>
              <w:rPr>
                <w:color w:val="000000"/>
              </w:rPr>
            </w:pPr>
          </w:p>
          <w:p w14:paraId="1601A7F5" w14:textId="77777777" w:rsidR="008239CE" w:rsidRPr="00025377" w:rsidRDefault="007A549D" w:rsidP="005F0568">
            <w:pPr>
              <w:jc w:val="both"/>
              <w:rPr>
                <w:i/>
              </w:rPr>
            </w:pPr>
            <w:r w:rsidRPr="00025377">
              <w:rPr>
                <w:i/>
                <w:iCs/>
              </w:rPr>
              <w:t>Klíčové pojmy</w:t>
            </w:r>
            <w:r w:rsidRPr="00025377">
              <w:rPr>
                <w:i/>
              </w:rPr>
              <w:t>: ochrana bezpečnosti</w:t>
            </w:r>
            <w:r w:rsidR="005F0568" w:rsidRPr="00025377">
              <w:rPr>
                <w:i/>
              </w:rPr>
              <w:t xml:space="preserve"> a </w:t>
            </w:r>
            <w:r w:rsidRPr="00025377">
              <w:rPr>
                <w:i/>
              </w:rPr>
              <w:t xml:space="preserve">zdraví pracovníků – placená dovolená za kalendářní rok, zrušení propuštění ze zaměstnání soudem – nárok na nevyčerpanou placenou dovolenou za kalendářní rok za dobu od propuštění ze zaměstnání do opětovného přijetí do zaměstnání – </w:t>
            </w:r>
            <w:r w:rsidR="005F0568" w:rsidRPr="00025377">
              <w:rPr>
                <w:i/>
              </w:rPr>
              <w:t>čl. </w:t>
            </w:r>
            <w:r w:rsidRPr="00025377">
              <w:rPr>
                <w:i/>
              </w:rPr>
              <w:t>7 odst. 1 směrnice 2003/88/ES.</w:t>
            </w:r>
          </w:p>
          <w:p w14:paraId="58951062" w14:textId="77777777" w:rsidR="008239CE" w:rsidRDefault="008239CE" w:rsidP="005F0568">
            <w:pPr>
              <w:jc w:val="both"/>
            </w:pPr>
          </w:p>
          <w:p w14:paraId="69A26A26" w14:textId="77777777" w:rsidR="008239CE" w:rsidRDefault="007A549D" w:rsidP="005F0568">
            <w:pPr>
              <w:jc w:val="both"/>
            </w:pPr>
            <w:hyperlink r:id="rId12">
              <w:r>
                <w:rPr>
                  <w:color w:val="0000FF"/>
                  <w:u w:val="single"/>
                </w:rPr>
                <w:t xml:space="preserve">EUR-Lex – </w:t>
              </w:r>
              <w:proofErr w:type="gramStart"/>
              <w:r>
                <w:rPr>
                  <w:color w:val="0000FF"/>
                  <w:u w:val="single"/>
                </w:rPr>
                <w:t>62018CJ0762 - EN</w:t>
              </w:r>
              <w:proofErr w:type="gramEnd"/>
              <w:r>
                <w:rPr>
                  <w:color w:val="0000FF"/>
                  <w:u w:val="single"/>
                </w:rPr>
                <w:t xml:space="preserve"> - EUR-Lex (europa.eu)</w:t>
              </w:r>
            </w:hyperlink>
          </w:p>
          <w:p w14:paraId="16CF18E3" w14:textId="77777777" w:rsidR="008239CE" w:rsidRDefault="008239CE" w:rsidP="005F0568">
            <w:pPr>
              <w:jc w:val="both"/>
            </w:pPr>
          </w:p>
          <w:p w14:paraId="21FA7137" w14:textId="77777777" w:rsidR="007A549D" w:rsidRDefault="007A549D" w:rsidP="005F0568">
            <w:pPr>
              <w:pBdr>
                <w:top w:val="nil"/>
                <w:left w:val="nil"/>
                <w:bottom w:val="nil"/>
                <w:right w:val="nil"/>
                <w:between w:val="nil"/>
              </w:pBdr>
              <w:jc w:val="both"/>
              <w:rPr>
                <w:color w:val="000000"/>
              </w:rPr>
            </w:pPr>
          </w:p>
          <w:p w14:paraId="1FD62007" w14:textId="77777777" w:rsidR="008239CE" w:rsidRPr="0000743F" w:rsidRDefault="007A549D" w:rsidP="0000743F">
            <w:pPr>
              <w:pStyle w:val="Odstavecseseznamem"/>
              <w:numPr>
                <w:ilvl w:val="0"/>
                <w:numId w:val="6"/>
              </w:numPr>
              <w:pBdr>
                <w:top w:val="nil"/>
                <w:left w:val="nil"/>
                <w:bottom w:val="nil"/>
                <w:right w:val="nil"/>
                <w:between w:val="nil"/>
              </w:pBdr>
              <w:jc w:val="both"/>
              <w:rPr>
                <w:b/>
              </w:rPr>
            </w:pPr>
            <w:r w:rsidRPr="0000743F">
              <w:rPr>
                <w:b/>
                <w:color w:val="000000"/>
              </w:rPr>
              <w:t>Rozsudek Soudního dvora (velký senát), C-609/17</w:t>
            </w:r>
            <w:r w:rsidR="005F0568" w:rsidRPr="0000743F">
              <w:rPr>
                <w:b/>
                <w:color w:val="000000"/>
              </w:rPr>
              <w:t xml:space="preserve"> a </w:t>
            </w:r>
            <w:r w:rsidRPr="0000743F">
              <w:rPr>
                <w:b/>
                <w:color w:val="000000"/>
              </w:rPr>
              <w:t xml:space="preserve">C 610/17, 19. listopadu 2019, </w:t>
            </w:r>
            <w:proofErr w:type="spellStart"/>
            <w:r w:rsidRPr="0000743F">
              <w:rPr>
                <w:b/>
                <w:i/>
                <w:iCs/>
                <w:color w:val="000000"/>
              </w:rPr>
              <w:t>Terveys-ja</w:t>
            </w:r>
            <w:proofErr w:type="spellEnd"/>
            <w:r w:rsidRPr="0000743F">
              <w:rPr>
                <w:b/>
                <w:i/>
                <w:iCs/>
                <w:color w:val="000000"/>
              </w:rPr>
              <w:t xml:space="preserve"> </w:t>
            </w:r>
            <w:proofErr w:type="spellStart"/>
            <w:r w:rsidRPr="0000743F">
              <w:rPr>
                <w:b/>
                <w:i/>
                <w:iCs/>
                <w:color w:val="000000"/>
              </w:rPr>
              <w:t>sociaalialan</w:t>
            </w:r>
            <w:proofErr w:type="spellEnd"/>
            <w:r w:rsidRPr="0000743F">
              <w:rPr>
                <w:b/>
                <w:i/>
                <w:iCs/>
                <w:color w:val="000000"/>
              </w:rPr>
              <w:t xml:space="preserve"> </w:t>
            </w:r>
            <w:proofErr w:type="spellStart"/>
            <w:r w:rsidRPr="0000743F">
              <w:rPr>
                <w:b/>
                <w:i/>
                <w:iCs/>
                <w:color w:val="000000"/>
              </w:rPr>
              <w:t>neuvottelujarjesto</w:t>
            </w:r>
            <w:proofErr w:type="spellEnd"/>
            <w:r w:rsidRPr="0000743F">
              <w:rPr>
                <w:b/>
                <w:i/>
                <w:iCs/>
                <w:color w:val="000000"/>
              </w:rPr>
              <w:t xml:space="preserve"> </w:t>
            </w:r>
            <w:proofErr w:type="spellStart"/>
            <w:r w:rsidRPr="0000743F">
              <w:rPr>
                <w:b/>
                <w:i/>
                <w:iCs/>
                <w:color w:val="000000"/>
              </w:rPr>
              <w:t>ry</w:t>
            </w:r>
            <w:proofErr w:type="spellEnd"/>
            <w:r w:rsidRPr="0000743F">
              <w:rPr>
                <w:b/>
                <w:i/>
                <w:iCs/>
                <w:color w:val="000000"/>
              </w:rPr>
              <w:t xml:space="preserve"> v. </w:t>
            </w:r>
            <w:proofErr w:type="spellStart"/>
            <w:r w:rsidRPr="0000743F">
              <w:rPr>
                <w:b/>
                <w:i/>
                <w:iCs/>
                <w:color w:val="000000"/>
              </w:rPr>
              <w:t>Hyvinvointialan</w:t>
            </w:r>
            <w:proofErr w:type="spellEnd"/>
            <w:r w:rsidRPr="0000743F">
              <w:rPr>
                <w:b/>
                <w:i/>
                <w:iCs/>
                <w:color w:val="000000"/>
              </w:rPr>
              <w:t xml:space="preserve"> </w:t>
            </w:r>
            <w:proofErr w:type="spellStart"/>
            <w:r w:rsidRPr="0000743F">
              <w:rPr>
                <w:b/>
                <w:i/>
                <w:iCs/>
                <w:color w:val="000000"/>
              </w:rPr>
              <w:t>liitto</w:t>
            </w:r>
            <w:proofErr w:type="spellEnd"/>
            <w:r w:rsidRPr="0000743F">
              <w:rPr>
                <w:b/>
                <w:i/>
                <w:iCs/>
                <w:color w:val="000000"/>
              </w:rPr>
              <w:t xml:space="preserve"> </w:t>
            </w:r>
            <w:proofErr w:type="spellStart"/>
            <w:r w:rsidRPr="0000743F">
              <w:rPr>
                <w:b/>
                <w:i/>
                <w:iCs/>
                <w:color w:val="000000"/>
              </w:rPr>
              <w:t>ry</w:t>
            </w:r>
            <w:proofErr w:type="spellEnd"/>
          </w:p>
          <w:p w14:paraId="7497663C" w14:textId="77777777" w:rsidR="008239CE" w:rsidRDefault="008239CE" w:rsidP="005F0568">
            <w:pPr>
              <w:jc w:val="both"/>
            </w:pPr>
          </w:p>
          <w:p w14:paraId="6F3A06C0" w14:textId="77777777" w:rsidR="008239CE" w:rsidRPr="00025377" w:rsidRDefault="007A549D" w:rsidP="005F0568">
            <w:pPr>
              <w:jc w:val="both"/>
              <w:rPr>
                <w:i/>
              </w:rPr>
            </w:pPr>
            <w:r w:rsidRPr="00025377">
              <w:rPr>
                <w:i/>
                <w:iCs/>
              </w:rPr>
              <w:t>Klíčové pojmy</w:t>
            </w:r>
            <w:r w:rsidRPr="00025377">
              <w:rPr>
                <w:i/>
              </w:rPr>
              <w:t>: ochrana bezpečnosti</w:t>
            </w:r>
            <w:r w:rsidR="005F0568" w:rsidRPr="00025377">
              <w:rPr>
                <w:i/>
              </w:rPr>
              <w:t xml:space="preserve"> a </w:t>
            </w:r>
            <w:r w:rsidRPr="00025377">
              <w:rPr>
                <w:i/>
              </w:rPr>
              <w:t xml:space="preserve">zdraví pracovníků – nárok na každoroční </w:t>
            </w:r>
            <w:r w:rsidRPr="00025377">
              <w:rPr>
                <w:i/>
              </w:rPr>
              <w:lastRenderedPageBreak/>
              <w:t>placenou dovolenou</w:t>
            </w:r>
            <w:r w:rsidR="005F0568" w:rsidRPr="00025377">
              <w:rPr>
                <w:i/>
              </w:rPr>
              <w:t xml:space="preserve"> v </w:t>
            </w:r>
            <w:r w:rsidRPr="00025377">
              <w:rPr>
                <w:i/>
              </w:rPr>
              <w:t>délce nejméně čtyř týdnů</w:t>
            </w:r>
            <w:r w:rsidR="005F0568" w:rsidRPr="00025377">
              <w:rPr>
                <w:i/>
              </w:rPr>
              <w:t xml:space="preserve"> v </w:t>
            </w:r>
            <w:r w:rsidRPr="00025377">
              <w:rPr>
                <w:i/>
              </w:rPr>
              <w:t xml:space="preserve">případě nemoci – </w:t>
            </w:r>
            <w:r w:rsidR="005F0568" w:rsidRPr="00025377">
              <w:rPr>
                <w:i/>
              </w:rPr>
              <w:t>čl. </w:t>
            </w:r>
            <w:r w:rsidRPr="00025377">
              <w:rPr>
                <w:i/>
              </w:rPr>
              <w:t>7 odst. 1 směrnice 2003/88/ES</w:t>
            </w:r>
          </w:p>
          <w:p w14:paraId="2021F6CD" w14:textId="77777777" w:rsidR="008239CE" w:rsidRDefault="008239CE" w:rsidP="005F0568">
            <w:pPr>
              <w:jc w:val="both"/>
            </w:pPr>
          </w:p>
          <w:p w14:paraId="5205E479" w14:textId="77777777" w:rsidR="008239CE" w:rsidRDefault="007A549D" w:rsidP="005F0568">
            <w:pPr>
              <w:jc w:val="both"/>
            </w:pPr>
            <w:hyperlink r:id="rId13">
              <w:r>
                <w:rPr>
                  <w:color w:val="0000FF"/>
                  <w:u w:val="single"/>
                </w:rPr>
                <w:t>EUR-Lex – 62017CJ0609 – EN – EUR-Lex (europa.eu)</w:t>
              </w:r>
            </w:hyperlink>
          </w:p>
          <w:p w14:paraId="32A9CDC5" w14:textId="77777777" w:rsidR="00367012" w:rsidRDefault="00367012" w:rsidP="005F0568">
            <w:pPr>
              <w:pBdr>
                <w:top w:val="nil"/>
                <w:left w:val="nil"/>
                <w:bottom w:val="nil"/>
                <w:right w:val="nil"/>
                <w:between w:val="nil"/>
              </w:pBdr>
              <w:jc w:val="both"/>
              <w:rPr>
                <w:b/>
                <w:color w:val="000000"/>
              </w:rPr>
            </w:pPr>
          </w:p>
          <w:p w14:paraId="209EA398" w14:textId="77777777" w:rsidR="007A549D" w:rsidRDefault="007A549D" w:rsidP="005F0568">
            <w:pPr>
              <w:pBdr>
                <w:top w:val="nil"/>
                <w:left w:val="nil"/>
                <w:bottom w:val="nil"/>
                <w:right w:val="nil"/>
                <w:between w:val="nil"/>
              </w:pBdr>
              <w:jc w:val="both"/>
              <w:rPr>
                <w:b/>
                <w:color w:val="000000"/>
              </w:rPr>
            </w:pPr>
          </w:p>
          <w:p w14:paraId="00F6BB70" w14:textId="77777777" w:rsidR="008239CE" w:rsidRPr="0000743F" w:rsidRDefault="007A549D" w:rsidP="0000743F">
            <w:pPr>
              <w:pStyle w:val="Odstavecseseznamem"/>
              <w:numPr>
                <w:ilvl w:val="0"/>
                <w:numId w:val="6"/>
              </w:numPr>
              <w:pBdr>
                <w:top w:val="nil"/>
                <w:left w:val="nil"/>
                <w:bottom w:val="nil"/>
                <w:right w:val="nil"/>
                <w:between w:val="nil"/>
              </w:pBdr>
              <w:jc w:val="both"/>
              <w:rPr>
                <w:b/>
              </w:rPr>
            </w:pPr>
            <w:r w:rsidRPr="0000743F">
              <w:rPr>
                <w:b/>
                <w:color w:val="000000"/>
              </w:rPr>
              <w:t xml:space="preserve">Rozsudek Soudního dvora (velký senát), C-684/16, 6. listopadu 2018, </w:t>
            </w:r>
            <w:r w:rsidRPr="0000743F">
              <w:rPr>
                <w:b/>
                <w:i/>
                <w:iCs/>
                <w:color w:val="000000"/>
              </w:rPr>
              <w:t>Max-Planck-</w:t>
            </w:r>
            <w:proofErr w:type="spellStart"/>
            <w:r w:rsidRPr="0000743F">
              <w:rPr>
                <w:b/>
                <w:i/>
                <w:iCs/>
                <w:color w:val="000000"/>
              </w:rPr>
              <w:t>Gesellschaft</w:t>
            </w:r>
            <w:proofErr w:type="spellEnd"/>
            <w:r w:rsidRPr="0000743F">
              <w:rPr>
                <w:b/>
                <w:i/>
                <w:iCs/>
                <w:color w:val="000000"/>
              </w:rPr>
              <w:t xml:space="preserve"> </w:t>
            </w:r>
            <w:proofErr w:type="spellStart"/>
            <w:r w:rsidRPr="0000743F">
              <w:rPr>
                <w:b/>
                <w:i/>
                <w:iCs/>
                <w:color w:val="000000"/>
              </w:rPr>
              <w:t>zur</w:t>
            </w:r>
            <w:proofErr w:type="spellEnd"/>
            <w:r w:rsidRPr="0000743F">
              <w:rPr>
                <w:b/>
                <w:i/>
                <w:iCs/>
                <w:color w:val="000000"/>
              </w:rPr>
              <w:t xml:space="preserve"> </w:t>
            </w:r>
            <w:proofErr w:type="spellStart"/>
            <w:r w:rsidRPr="0000743F">
              <w:rPr>
                <w:b/>
                <w:i/>
                <w:iCs/>
                <w:color w:val="000000"/>
              </w:rPr>
              <w:t>Förderung</w:t>
            </w:r>
            <w:proofErr w:type="spellEnd"/>
            <w:r w:rsidRPr="0000743F">
              <w:rPr>
                <w:b/>
                <w:i/>
                <w:iCs/>
                <w:color w:val="000000"/>
              </w:rPr>
              <w:t xml:space="preserve"> der </w:t>
            </w:r>
            <w:proofErr w:type="spellStart"/>
            <w:r w:rsidRPr="0000743F">
              <w:rPr>
                <w:b/>
                <w:i/>
                <w:iCs/>
                <w:color w:val="000000"/>
              </w:rPr>
              <w:t>Wissenschaften</w:t>
            </w:r>
            <w:proofErr w:type="spellEnd"/>
            <w:r w:rsidRPr="0000743F">
              <w:rPr>
                <w:b/>
                <w:i/>
                <w:iCs/>
                <w:color w:val="000000"/>
              </w:rPr>
              <w:t xml:space="preserve"> e. V. v. </w:t>
            </w:r>
            <w:proofErr w:type="spellStart"/>
            <w:r w:rsidRPr="0000743F">
              <w:rPr>
                <w:b/>
                <w:i/>
                <w:iCs/>
                <w:color w:val="000000"/>
              </w:rPr>
              <w:t>Tetsuji</w:t>
            </w:r>
            <w:proofErr w:type="spellEnd"/>
            <w:r w:rsidRPr="0000743F">
              <w:rPr>
                <w:b/>
                <w:i/>
                <w:iCs/>
                <w:color w:val="000000"/>
              </w:rPr>
              <w:t xml:space="preserve"> </w:t>
            </w:r>
            <w:proofErr w:type="spellStart"/>
            <w:r w:rsidRPr="0000743F">
              <w:rPr>
                <w:b/>
                <w:i/>
                <w:iCs/>
                <w:color w:val="000000"/>
              </w:rPr>
              <w:t>Shimizu</w:t>
            </w:r>
            <w:proofErr w:type="spellEnd"/>
          </w:p>
          <w:p w14:paraId="14817A87" w14:textId="77777777" w:rsidR="008239CE" w:rsidRDefault="008239CE" w:rsidP="005F0568">
            <w:pPr>
              <w:jc w:val="both"/>
            </w:pPr>
          </w:p>
          <w:p w14:paraId="4646416B" w14:textId="77777777" w:rsidR="008239CE" w:rsidRPr="00025377" w:rsidRDefault="007A549D" w:rsidP="005F0568">
            <w:pPr>
              <w:jc w:val="both"/>
              <w:rPr>
                <w:i/>
              </w:rPr>
            </w:pPr>
            <w:r w:rsidRPr="00025377">
              <w:rPr>
                <w:i/>
                <w:iCs/>
              </w:rPr>
              <w:t>Klíčové pojmy</w:t>
            </w:r>
            <w:r w:rsidRPr="00025377">
              <w:rPr>
                <w:i/>
              </w:rPr>
              <w:t>: ochrana bezpečnosti</w:t>
            </w:r>
            <w:r w:rsidR="005F0568" w:rsidRPr="00025377">
              <w:rPr>
                <w:i/>
              </w:rPr>
              <w:t xml:space="preserve"> a </w:t>
            </w:r>
            <w:r w:rsidRPr="00025377">
              <w:rPr>
                <w:i/>
              </w:rPr>
              <w:t>zdraví pracovníků – nárok na každoroční placenou dovolenou</w:t>
            </w:r>
            <w:r w:rsidR="005F0568" w:rsidRPr="00025377">
              <w:rPr>
                <w:i/>
              </w:rPr>
              <w:t xml:space="preserve"> v </w:t>
            </w:r>
            <w:r w:rsidRPr="00025377">
              <w:rPr>
                <w:i/>
              </w:rPr>
              <w:t xml:space="preserve">případě ukončení pracovního poměru – povinnost </w:t>
            </w:r>
            <w:proofErr w:type="spellStart"/>
            <w:r w:rsidRPr="00025377">
              <w:rPr>
                <w:i/>
              </w:rPr>
              <w:t>eurokonformního</w:t>
            </w:r>
            <w:proofErr w:type="spellEnd"/>
            <w:r w:rsidRPr="00025377">
              <w:rPr>
                <w:i/>
              </w:rPr>
              <w:t xml:space="preserve"> výkladu vnitrostátního práva – článek 7 směrnice 2003/88/ES</w:t>
            </w:r>
          </w:p>
          <w:p w14:paraId="104889F1" w14:textId="77777777" w:rsidR="008239CE" w:rsidRDefault="008239CE" w:rsidP="005F0568">
            <w:pPr>
              <w:jc w:val="both"/>
            </w:pPr>
          </w:p>
          <w:p w14:paraId="49E09919" w14:textId="77777777" w:rsidR="008239CE" w:rsidRDefault="007A549D" w:rsidP="005F0568">
            <w:pPr>
              <w:jc w:val="both"/>
            </w:pPr>
            <w:hyperlink r:id="rId14">
              <w:r>
                <w:rPr>
                  <w:color w:val="0000FF"/>
                  <w:u w:val="single"/>
                </w:rPr>
                <w:t>EUR-Lex – 62016CJ0684 – EN – EUR-Lex (europa.eu)</w:t>
              </w:r>
            </w:hyperlink>
          </w:p>
          <w:p w14:paraId="485E36EA" w14:textId="77777777" w:rsidR="008239CE" w:rsidRDefault="008239CE" w:rsidP="005F0568">
            <w:pPr>
              <w:jc w:val="both"/>
            </w:pPr>
          </w:p>
        </w:tc>
      </w:tr>
      <w:tr w:rsidR="008239CE" w14:paraId="492E198B" w14:textId="77777777">
        <w:tc>
          <w:tcPr>
            <w:tcW w:w="8494" w:type="dxa"/>
          </w:tcPr>
          <w:p w14:paraId="3FC37A0D" w14:textId="77777777" w:rsidR="008239CE" w:rsidRDefault="007A549D" w:rsidP="005F0568">
            <w:pPr>
              <w:jc w:val="both"/>
              <w:rPr>
                <w:b/>
              </w:rPr>
            </w:pPr>
            <w:r>
              <w:rPr>
                <w:b/>
              </w:rPr>
              <w:lastRenderedPageBreak/>
              <w:t>Důležité</w:t>
            </w:r>
          </w:p>
        </w:tc>
      </w:tr>
      <w:tr w:rsidR="008239CE" w14:paraId="3A3B0ED6" w14:textId="77777777">
        <w:tc>
          <w:tcPr>
            <w:tcW w:w="8494" w:type="dxa"/>
          </w:tcPr>
          <w:p w14:paraId="0896B4A7" w14:textId="77777777" w:rsidR="008239CE" w:rsidRDefault="008239CE" w:rsidP="005F0568">
            <w:pPr>
              <w:jc w:val="both"/>
              <w:rPr>
                <w:i/>
              </w:rPr>
            </w:pPr>
          </w:p>
          <w:p w14:paraId="189D2544" w14:textId="77777777" w:rsidR="008239CE" w:rsidRDefault="007A549D" w:rsidP="005F0568">
            <w:pPr>
              <w:jc w:val="both"/>
            </w:pPr>
            <w:r>
              <w:t>Právě unijní právo nabízí advokátům možnost nalézt normy na ochranu základních práv, které doplňují vnitrostátní právo.</w:t>
            </w:r>
            <w:r w:rsidR="005F0568">
              <w:t xml:space="preserve"> V </w:t>
            </w:r>
            <w:r>
              <w:t>kombinaci</w:t>
            </w:r>
            <w:r w:rsidR="005F0568">
              <w:t xml:space="preserve"> s </w:t>
            </w:r>
            <w:r>
              <w:t>Listinou však musí advokát vyhledat ještě některé pravidlo Smlouvy nebo sekundární právní předpis, např. směrnici.</w:t>
            </w:r>
          </w:p>
          <w:p w14:paraId="5FAB56D3" w14:textId="77777777" w:rsidR="008239CE" w:rsidRDefault="008239CE" w:rsidP="005F0568">
            <w:pPr>
              <w:jc w:val="both"/>
            </w:pPr>
          </w:p>
          <w:p w14:paraId="4B2ED48A" w14:textId="77777777" w:rsidR="008239CE" w:rsidRDefault="007A549D" w:rsidP="005F0568">
            <w:pPr>
              <w:jc w:val="both"/>
            </w:pPr>
            <w:r>
              <w:t>Listinu lze rovněž užít</w:t>
            </w:r>
            <w:r w:rsidR="005F0568">
              <w:t xml:space="preserve"> k </w:t>
            </w:r>
            <w:r>
              <w:t>ochraně zaměstnanců Evropské unie, kteří se dostanou do konfliktu</w:t>
            </w:r>
            <w:r w:rsidR="005F0568">
              <w:t xml:space="preserve"> s </w:t>
            </w:r>
            <w:r>
              <w:t xml:space="preserve">orgány EU. </w:t>
            </w:r>
          </w:p>
          <w:p w14:paraId="5E9C7D96" w14:textId="77777777" w:rsidR="008239CE" w:rsidRDefault="008239CE" w:rsidP="005F0568">
            <w:pPr>
              <w:jc w:val="both"/>
            </w:pPr>
          </w:p>
          <w:p w14:paraId="348AB9F6" w14:textId="77777777" w:rsidR="008239CE" w:rsidRDefault="007A549D" w:rsidP="005F0568">
            <w:pPr>
              <w:jc w:val="both"/>
            </w:pPr>
            <w:r>
              <w:t>V oblasti sociálních práv poskytuje Evropská úmluva</w:t>
            </w:r>
            <w:r w:rsidR="005F0568">
              <w:t xml:space="preserve"> o </w:t>
            </w:r>
            <w:r>
              <w:t>lidských právech méně ochrany, kromě otázek diskriminace</w:t>
            </w:r>
            <w:r w:rsidR="005F0568">
              <w:t xml:space="preserve"> a </w:t>
            </w:r>
            <w:r>
              <w:t>v určitých případech ochrany soukromí nebo svobody projevu</w:t>
            </w:r>
            <w:r w:rsidR="005F0568">
              <w:t xml:space="preserve"> a </w:t>
            </w:r>
            <w:r>
              <w:t>svobody sdružování.</w:t>
            </w:r>
          </w:p>
          <w:p w14:paraId="490CDD5F" w14:textId="77777777" w:rsidR="008239CE" w:rsidRDefault="008239CE" w:rsidP="005F0568">
            <w:pPr>
              <w:jc w:val="both"/>
            </w:pPr>
          </w:p>
          <w:p w14:paraId="0D955889" w14:textId="77777777" w:rsidR="008239CE" w:rsidRDefault="007A549D" w:rsidP="005F0568">
            <w:pPr>
              <w:jc w:val="both"/>
            </w:pPr>
            <w:r>
              <w:t>V určitých případech může advokát rovněž využít Evropskou sociální chartu Rady Evropy.</w:t>
            </w:r>
          </w:p>
          <w:p w14:paraId="35723D23" w14:textId="77777777" w:rsidR="008239CE" w:rsidRDefault="008239CE" w:rsidP="005F0568">
            <w:pPr>
              <w:jc w:val="both"/>
            </w:pPr>
          </w:p>
          <w:p w14:paraId="7AA0387C" w14:textId="77777777" w:rsidR="008239CE" w:rsidRDefault="007A549D" w:rsidP="005F0568">
            <w:pPr>
              <w:jc w:val="both"/>
            </w:pPr>
            <w:r>
              <w:t>Článek 31 Listiny může být použit extenzivně</w:t>
            </w:r>
            <w:r w:rsidR="005F0568">
              <w:t xml:space="preserve"> v </w:t>
            </w:r>
            <w:r>
              <w:t>oblasti pracovního práva</w:t>
            </w:r>
            <w:r w:rsidR="005F0568">
              <w:t xml:space="preserve"> a </w:t>
            </w:r>
            <w:r>
              <w:t>advokáti by jej měli používat ve spojení</w:t>
            </w:r>
            <w:r w:rsidR="005F0568">
              <w:t xml:space="preserve"> s </w:t>
            </w:r>
            <w:r>
              <w:t>důležitými standardy vyplývajícími</w:t>
            </w:r>
            <w:r w:rsidR="005F0568">
              <w:t xml:space="preserve"> z </w:t>
            </w:r>
            <w:r>
              <w:t>unijního práva týkajícími se zdraví</w:t>
            </w:r>
            <w:r w:rsidR="005F0568">
              <w:t xml:space="preserve"> a </w:t>
            </w:r>
            <w:r>
              <w:t>bezpečnosti pracovníků, avšak rovněž prostřednictvím ochrany důstojnosti, otázek týkajících se obtěžování, diskriminace, odměňování</w:t>
            </w:r>
            <w:r w:rsidR="005F0568">
              <w:t xml:space="preserve"> a </w:t>
            </w:r>
            <w:r>
              <w:t xml:space="preserve">samozřejmě všech otázek týkajících se pracovní doby. </w:t>
            </w:r>
          </w:p>
          <w:p w14:paraId="6FA3E5E7" w14:textId="77777777" w:rsidR="008239CE" w:rsidRDefault="008239CE" w:rsidP="005F0568">
            <w:pPr>
              <w:jc w:val="both"/>
            </w:pPr>
          </w:p>
          <w:p w14:paraId="7DB7CEAB" w14:textId="77777777" w:rsidR="008239CE" w:rsidRDefault="007A549D" w:rsidP="005F0568">
            <w:pPr>
              <w:jc w:val="both"/>
            </w:pPr>
            <w:r>
              <w:t>Článek 31 také pokrývá pojem pracovník, jejž Soudní dvůr vykládá autonomně.</w:t>
            </w:r>
          </w:p>
          <w:p w14:paraId="0F806ACA" w14:textId="77777777" w:rsidR="008239CE" w:rsidRDefault="008239CE" w:rsidP="005F0568">
            <w:pPr>
              <w:jc w:val="both"/>
            </w:pPr>
          </w:p>
          <w:p w14:paraId="4C8D73D1" w14:textId="77777777" w:rsidR="008239CE" w:rsidRDefault="007A549D" w:rsidP="005F0568">
            <w:pPr>
              <w:jc w:val="both"/>
            </w:pPr>
            <w:r>
              <w:t>Stojí za to zdůraznit horizontální účinek, jejž Soudní dvůr přiznává právům uvedeným</w:t>
            </w:r>
            <w:r w:rsidR="005F0568">
              <w:t xml:space="preserve"> v čl. </w:t>
            </w:r>
            <w:r>
              <w:t>31 odst.</w:t>
            </w:r>
            <w:r w:rsidR="00D2395C">
              <w:t> </w:t>
            </w:r>
            <w:r>
              <w:t>2, který umožňuje je uplatnit</w:t>
            </w:r>
            <w:r w:rsidR="005F0568">
              <w:t xml:space="preserve"> i </w:t>
            </w:r>
            <w:r>
              <w:t>ve vztazích mezi soukromými osobami.</w:t>
            </w:r>
          </w:p>
          <w:p w14:paraId="69A0E7C0" w14:textId="77777777" w:rsidR="008239CE" w:rsidRDefault="008239CE" w:rsidP="005F0568">
            <w:pPr>
              <w:jc w:val="both"/>
            </w:pPr>
          </w:p>
          <w:p w14:paraId="5CE78DE2" w14:textId="77777777" w:rsidR="008239CE" w:rsidRDefault="008239CE" w:rsidP="005F0568">
            <w:pPr>
              <w:jc w:val="both"/>
              <w:rPr>
                <w:i/>
              </w:rPr>
            </w:pPr>
          </w:p>
        </w:tc>
      </w:tr>
      <w:tr w:rsidR="008239CE" w14:paraId="6A8BB178" w14:textId="77777777">
        <w:tc>
          <w:tcPr>
            <w:tcW w:w="8494" w:type="dxa"/>
          </w:tcPr>
          <w:p w14:paraId="06B50BA0" w14:textId="77777777" w:rsidR="008239CE" w:rsidRDefault="007A549D" w:rsidP="005F0568">
            <w:pPr>
              <w:jc w:val="both"/>
              <w:rPr>
                <w:b/>
              </w:rPr>
            </w:pPr>
            <w:r>
              <w:rPr>
                <w:b/>
              </w:rPr>
              <w:t>Soulad</w:t>
            </w:r>
            <w:r w:rsidR="005F0568">
              <w:rPr>
                <w:b/>
              </w:rPr>
              <w:t xml:space="preserve"> s </w:t>
            </w:r>
            <w:r>
              <w:rPr>
                <w:b/>
              </w:rPr>
              <w:t>dalšími evropskými/mezinárodními dokumenty</w:t>
            </w:r>
          </w:p>
        </w:tc>
      </w:tr>
      <w:tr w:rsidR="008239CE" w14:paraId="1F65AAD8" w14:textId="77777777">
        <w:tc>
          <w:tcPr>
            <w:tcW w:w="8494" w:type="dxa"/>
          </w:tcPr>
          <w:p w14:paraId="0C243937" w14:textId="77777777" w:rsidR="008239CE" w:rsidRDefault="008239CE" w:rsidP="005F0568">
            <w:pPr>
              <w:jc w:val="both"/>
              <w:rPr>
                <w:i/>
              </w:rPr>
            </w:pPr>
          </w:p>
          <w:p w14:paraId="3AB90A62" w14:textId="77777777" w:rsidR="0000743F" w:rsidRDefault="0000743F" w:rsidP="005F0568">
            <w:pPr>
              <w:jc w:val="both"/>
              <w:rPr>
                <w:i/>
              </w:rPr>
            </w:pPr>
          </w:p>
          <w:p w14:paraId="64B3A6AE" w14:textId="77777777" w:rsidR="008239CE" w:rsidRDefault="007A549D" w:rsidP="005F0568">
            <w:pPr>
              <w:jc w:val="both"/>
              <w:rPr>
                <w:b/>
              </w:rPr>
            </w:pPr>
            <w:r>
              <w:rPr>
                <w:b/>
              </w:rPr>
              <w:lastRenderedPageBreak/>
              <w:t>Evropská sociální charta (revidovaná): článek 2</w:t>
            </w:r>
          </w:p>
          <w:p w14:paraId="5B0E47C9" w14:textId="77777777" w:rsidR="008239CE" w:rsidRDefault="008239CE" w:rsidP="005F0568">
            <w:pPr>
              <w:jc w:val="both"/>
              <w:rPr>
                <w:b/>
              </w:rPr>
            </w:pPr>
          </w:p>
          <w:p w14:paraId="4DE4DD69" w14:textId="77777777" w:rsidR="008239CE" w:rsidRDefault="007A549D" w:rsidP="005F0568">
            <w:pPr>
              <w:jc w:val="both"/>
            </w:pPr>
            <w:r>
              <w:t>„S cílem zajistit účinný výkon práva na spravedlivé pracovní podmínky, se smluvní strany zavazují: 1. stanovit přiměřenou denní</w:t>
            </w:r>
            <w:r w:rsidR="005F0568">
              <w:t xml:space="preserve"> a </w:t>
            </w:r>
            <w:r>
              <w:t>týdenní pracovní dobu, postupně zkracovat pracovní týden, jak to dovolí růst produktivity práce</w:t>
            </w:r>
            <w:r w:rsidR="005F0568">
              <w:t xml:space="preserve"> a </w:t>
            </w:r>
            <w:r>
              <w:t>další důležité činitelé, 2. poskytovat placené volno</w:t>
            </w:r>
            <w:r w:rsidR="005F0568">
              <w:t xml:space="preserve"> v </w:t>
            </w:r>
            <w:r>
              <w:t>době veřejných svátků, 3. poskytovat minimálně čtyřtýdenní placenou dovolenou ročně, 4. odstraňovat rizika, která jsou spojená</w:t>
            </w:r>
            <w:r w:rsidR="005F0568">
              <w:t xml:space="preserve"> s </w:t>
            </w:r>
            <w:r>
              <w:t>nebezpečnými nebo nezdravými povoláními, a tam, kde nebylo dosud možné odstranit nebo dostatečně snížit tato rizika, poskytovat buď zkrácení pracovní doby nebo dodatkovou placenou dovolenou pracovníkům</w:t>
            </w:r>
            <w:r w:rsidR="005F0568">
              <w:t xml:space="preserve"> v </w:t>
            </w:r>
            <w:r>
              <w:t>takových povoláních, 5. zajistit každý týden dobu odpočinku, která má pokud možno připadnout na den uznávaný podle tradice nebo obyčeje příslušné země nebo oblasti za den odpočinku. 6. zajistit, že pracovníci budou co nejdříve, avšak</w:t>
            </w:r>
            <w:r w:rsidR="005F0568">
              <w:t xml:space="preserve"> v </w:t>
            </w:r>
            <w:r>
              <w:t>žádném případě ne déle než dva měsíce od data zahájení jejich zaměstnání, písemnou formou informováni</w:t>
            </w:r>
            <w:r w:rsidR="005F0568">
              <w:t xml:space="preserve"> o </w:t>
            </w:r>
            <w:r>
              <w:t>podstatných náležitostech pracovní smlouvy nebo pracovněprávního vztahu, 7. zajistit, že pracovníci konající noční práci budou mít prospěch</w:t>
            </w:r>
            <w:r w:rsidR="005F0568">
              <w:t xml:space="preserve"> z </w:t>
            </w:r>
            <w:r>
              <w:t>opatření, která berou</w:t>
            </w:r>
            <w:r w:rsidR="005F0568">
              <w:t xml:space="preserve"> v </w:t>
            </w:r>
            <w:r>
              <w:t>úvahu zvláštní povahu této práce. “</w:t>
            </w:r>
          </w:p>
          <w:p w14:paraId="600ED47E" w14:textId="77777777" w:rsidR="008239CE" w:rsidRDefault="008239CE" w:rsidP="005F0568">
            <w:pPr>
              <w:jc w:val="both"/>
            </w:pPr>
          </w:p>
          <w:p w14:paraId="33FACD53" w14:textId="77777777" w:rsidR="008239CE" w:rsidRDefault="007A549D" w:rsidP="005F0568">
            <w:pPr>
              <w:jc w:val="both"/>
            </w:pPr>
            <w:hyperlink r:id="rId15">
              <w:proofErr w:type="spellStart"/>
              <w:r>
                <w:rPr>
                  <w:color w:val="0000FF"/>
                  <w:u w:val="single"/>
                </w:rPr>
                <w:t>Textes</w:t>
              </w:r>
              <w:proofErr w:type="spellEnd"/>
              <w:r>
                <w:rPr>
                  <w:color w:val="0000FF"/>
                  <w:u w:val="single"/>
                </w:rPr>
                <w:t xml:space="preserve"> de la </w:t>
              </w:r>
              <w:proofErr w:type="spellStart"/>
              <w:r>
                <w:rPr>
                  <w:color w:val="0000FF"/>
                  <w:u w:val="single"/>
                </w:rPr>
                <w:t>Charte</w:t>
              </w:r>
              <w:proofErr w:type="spellEnd"/>
              <w:r>
                <w:rPr>
                  <w:color w:val="0000FF"/>
                  <w:u w:val="single"/>
                </w:rPr>
                <w:t xml:space="preserve"> – </w:t>
              </w:r>
              <w:proofErr w:type="spellStart"/>
              <w:r>
                <w:rPr>
                  <w:color w:val="0000FF"/>
                  <w:u w:val="single"/>
                </w:rPr>
                <w:t>Droits</w:t>
              </w:r>
              <w:proofErr w:type="spellEnd"/>
              <w:r>
                <w:rPr>
                  <w:color w:val="0000FF"/>
                  <w:u w:val="single"/>
                </w:rPr>
                <w:t xml:space="preserve"> </w:t>
              </w:r>
              <w:proofErr w:type="spellStart"/>
              <w:r>
                <w:rPr>
                  <w:color w:val="0000FF"/>
                  <w:u w:val="single"/>
                </w:rPr>
                <w:t>sociaux</w:t>
              </w:r>
              <w:proofErr w:type="spellEnd"/>
              <w:r>
                <w:rPr>
                  <w:color w:val="0000FF"/>
                  <w:u w:val="single"/>
                </w:rPr>
                <w:t xml:space="preserve"> (coe.int)</w:t>
              </w:r>
            </w:hyperlink>
          </w:p>
          <w:p w14:paraId="37A3C40B" w14:textId="77777777" w:rsidR="008239CE" w:rsidRDefault="008239CE" w:rsidP="005F0568">
            <w:pPr>
              <w:jc w:val="both"/>
            </w:pPr>
          </w:p>
          <w:p w14:paraId="20A49A23" w14:textId="77777777" w:rsidR="008239CE" w:rsidRDefault="007A549D" w:rsidP="005F0568">
            <w:pPr>
              <w:jc w:val="both"/>
              <w:rPr>
                <w:b/>
              </w:rPr>
            </w:pPr>
            <w:r>
              <w:rPr>
                <w:b/>
              </w:rPr>
              <w:t xml:space="preserve">Úmluva Mezinárodní organizace práce </w:t>
            </w:r>
            <w:r w:rsidR="005F0568">
              <w:rPr>
                <w:b/>
              </w:rPr>
              <w:t>č. </w:t>
            </w:r>
            <w:r>
              <w:rPr>
                <w:b/>
              </w:rPr>
              <w:t>132 ze dne 24.</w:t>
            </w:r>
            <w:r w:rsidR="00D2395C">
              <w:rPr>
                <w:b/>
              </w:rPr>
              <w:t> </w:t>
            </w:r>
            <w:r>
              <w:rPr>
                <w:b/>
              </w:rPr>
              <w:t>června 1970</w:t>
            </w:r>
            <w:r w:rsidR="005F0568">
              <w:rPr>
                <w:b/>
              </w:rPr>
              <w:t xml:space="preserve"> o </w:t>
            </w:r>
            <w:r>
              <w:rPr>
                <w:b/>
              </w:rPr>
              <w:t xml:space="preserve">každoroční placené dovolené (revidovaná). </w:t>
            </w:r>
          </w:p>
          <w:p w14:paraId="65B9F6C5" w14:textId="77777777" w:rsidR="008239CE" w:rsidRDefault="008239CE" w:rsidP="005F0568">
            <w:pPr>
              <w:jc w:val="both"/>
              <w:rPr>
                <w:b/>
              </w:rPr>
            </w:pPr>
          </w:p>
          <w:p w14:paraId="2A3CDD67" w14:textId="77777777" w:rsidR="008239CE" w:rsidRDefault="007A549D" w:rsidP="005F0568">
            <w:pPr>
              <w:jc w:val="both"/>
              <w:rPr>
                <w:i/>
                <w:color w:val="333333"/>
                <w:sz w:val="27"/>
                <w:szCs w:val="27"/>
                <w:highlight w:val="white"/>
              </w:rPr>
            </w:pPr>
            <w:hyperlink r:id="rId16">
              <w:r>
                <w:rPr>
                  <w:color w:val="0000FF"/>
                  <w:u w:val="single"/>
                </w:rPr>
                <w:t>Úmluva C132 – Úmluva</w:t>
              </w:r>
              <w:r w:rsidR="005F0568">
                <w:rPr>
                  <w:color w:val="0000FF"/>
                  <w:u w:val="single"/>
                </w:rPr>
                <w:t xml:space="preserve"> o </w:t>
              </w:r>
              <w:r>
                <w:rPr>
                  <w:color w:val="0000FF"/>
                  <w:u w:val="single"/>
                </w:rPr>
                <w:t>placené dovolené (revidovaná), 1970 (</w:t>
              </w:r>
              <w:r w:rsidR="005F0568">
                <w:rPr>
                  <w:color w:val="0000FF"/>
                  <w:u w:val="single"/>
                </w:rPr>
                <w:t>č. </w:t>
              </w:r>
              <w:r>
                <w:rPr>
                  <w:color w:val="0000FF"/>
                  <w:u w:val="single"/>
                </w:rPr>
                <w:t>132) (ilo.org)</w:t>
              </w:r>
            </w:hyperlink>
          </w:p>
          <w:p w14:paraId="7C06793A" w14:textId="77777777" w:rsidR="008239CE" w:rsidRDefault="008239CE" w:rsidP="005F0568">
            <w:pPr>
              <w:jc w:val="both"/>
              <w:rPr>
                <w:i/>
              </w:rPr>
            </w:pPr>
          </w:p>
        </w:tc>
      </w:tr>
      <w:tr w:rsidR="008239CE" w14:paraId="3B67032A" w14:textId="77777777">
        <w:tc>
          <w:tcPr>
            <w:tcW w:w="8494" w:type="dxa"/>
          </w:tcPr>
          <w:p w14:paraId="1A57F537" w14:textId="77777777" w:rsidR="008239CE" w:rsidRDefault="007A549D" w:rsidP="005F0568">
            <w:pPr>
              <w:jc w:val="both"/>
              <w:rPr>
                <w:b/>
                <w:color w:val="000000"/>
              </w:rPr>
            </w:pPr>
            <w:r>
              <w:rPr>
                <w:b/>
                <w:color w:val="000000"/>
              </w:rPr>
              <w:lastRenderedPageBreak/>
              <w:t>Další zdroje</w:t>
            </w:r>
          </w:p>
        </w:tc>
      </w:tr>
      <w:tr w:rsidR="008239CE" w14:paraId="455241CF" w14:textId="77777777">
        <w:tc>
          <w:tcPr>
            <w:tcW w:w="8494" w:type="dxa"/>
          </w:tcPr>
          <w:p w14:paraId="79F14755" w14:textId="77777777" w:rsidR="008239CE" w:rsidRDefault="008239CE" w:rsidP="005F0568">
            <w:pPr>
              <w:jc w:val="both"/>
              <w:rPr>
                <w:i/>
                <w:color w:val="000000"/>
              </w:rPr>
            </w:pPr>
          </w:p>
          <w:p w14:paraId="384A895B" w14:textId="77777777" w:rsidR="008239CE" w:rsidRPr="004F53F1" w:rsidRDefault="007A549D" w:rsidP="004F53F1">
            <w:pPr>
              <w:pStyle w:val="Odstavecseseznamem"/>
              <w:numPr>
                <w:ilvl w:val="0"/>
                <w:numId w:val="6"/>
              </w:numPr>
              <w:jc w:val="both"/>
              <w:rPr>
                <w:color w:val="000000"/>
              </w:rPr>
            </w:pPr>
            <w:r w:rsidRPr="004F53F1">
              <w:rPr>
                <w:color w:val="000000"/>
              </w:rPr>
              <w:t xml:space="preserve">H. </w:t>
            </w:r>
            <w:proofErr w:type="spellStart"/>
            <w:r w:rsidRPr="004F53F1">
              <w:rPr>
                <w:color w:val="000000"/>
              </w:rPr>
              <w:t>Nasom-Tissandier</w:t>
            </w:r>
            <w:proofErr w:type="spellEnd"/>
            <w:r w:rsidRPr="004F53F1">
              <w:rPr>
                <w:color w:val="000000"/>
              </w:rPr>
              <w:t>, „</w:t>
            </w:r>
            <w:proofErr w:type="spellStart"/>
            <w:r w:rsidRPr="004F53F1">
              <w:rPr>
                <w:color w:val="000000"/>
              </w:rPr>
              <w:t>L’invocabilité</w:t>
            </w:r>
            <w:proofErr w:type="spellEnd"/>
            <w:r w:rsidRPr="004F53F1">
              <w:rPr>
                <w:color w:val="000000"/>
              </w:rPr>
              <w:t xml:space="preserve"> de la </w:t>
            </w:r>
            <w:proofErr w:type="spellStart"/>
            <w:r w:rsidRPr="004F53F1">
              <w:rPr>
                <w:color w:val="000000"/>
              </w:rPr>
              <w:t>Charte</w:t>
            </w:r>
            <w:proofErr w:type="spellEnd"/>
            <w:r w:rsidRPr="004F53F1">
              <w:rPr>
                <w:color w:val="000000"/>
              </w:rPr>
              <w:t xml:space="preserve"> des </w:t>
            </w:r>
            <w:proofErr w:type="spellStart"/>
            <w:r w:rsidRPr="004F53F1">
              <w:rPr>
                <w:color w:val="000000"/>
              </w:rPr>
              <w:t>droits</w:t>
            </w:r>
            <w:proofErr w:type="spellEnd"/>
            <w:r w:rsidRPr="004F53F1">
              <w:rPr>
                <w:color w:val="000000"/>
              </w:rPr>
              <w:t xml:space="preserve"> </w:t>
            </w:r>
            <w:proofErr w:type="spellStart"/>
            <w:r w:rsidRPr="004F53F1">
              <w:rPr>
                <w:color w:val="000000"/>
              </w:rPr>
              <w:t>fondamentaux</w:t>
            </w:r>
            <w:proofErr w:type="spellEnd"/>
            <w:r w:rsidRPr="004F53F1">
              <w:rPr>
                <w:color w:val="000000"/>
              </w:rPr>
              <w:t xml:space="preserve"> au </w:t>
            </w:r>
            <w:proofErr w:type="spellStart"/>
            <w:r w:rsidRPr="004F53F1">
              <w:rPr>
                <w:color w:val="000000"/>
              </w:rPr>
              <w:t>soutien</w:t>
            </w:r>
            <w:proofErr w:type="spellEnd"/>
            <w:r w:rsidRPr="004F53F1">
              <w:rPr>
                <w:color w:val="000000"/>
              </w:rPr>
              <w:t xml:space="preserve"> </w:t>
            </w:r>
            <w:proofErr w:type="spellStart"/>
            <w:r w:rsidRPr="004F53F1">
              <w:rPr>
                <w:color w:val="000000"/>
              </w:rPr>
              <w:t>du</w:t>
            </w:r>
            <w:proofErr w:type="spellEnd"/>
            <w:r w:rsidRPr="004F53F1">
              <w:rPr>
                <w:color w:val="000000"/>
              </w:rPr>
              <w:t xml:space="preserve"> </w:t>
            </w:r>
            <w:proofErr w:type="spellStart"/>
            <w:r w:rsidRPr="004F53F1">
              <w:rPr>
                <w:color w:val="000000"/>
              </w:rPr>
              <w:t>droit</w:t>
            </w:r>
            <w:proofErr w:type="spellEnd"/>
            <w:r w:rsidRPr="004F53F1">
              <w:rPr>
                <w:color w:val="000000"/>
              </w:rPr>
              <w:t xml:space="preserve"> à </w:t>
            </w:r>
            <w:proofErr w:type="spellStart"/>
            <w:r w:rsidRPr="004F53F1">
              <w:rPr>
                <w:color w:val="000000"/>
              </w:rPr>
              <w:t>congé</w:t>
            </w:r>
            <w:proofErr w:type="spellEnd"/>
            <w:r w:rsidRPr="004F53F1">
              <w:rPr>
                <w:color w:val="000000"/>
              </w:rPr>
              <w:t xml:space="preserve"> </w:t>
            </w:r>
            <w:proofErr w:type="spellStart"/>
            <w:r w:rsidRPr="004F53F1">
              <w:rPr>
                <w:color w:val="000000"/>
              </w:rPr>
              <w:t>annuel</w:t>
            </w:r>
            <w:proofErr w:type="spellEnd"/>
            <w:r w:rsidRPr="004F53F1">
              <w:rPr>
                <w:color w:val="000000"/>
              </w:rPr>
              <w:t xml:space="preserve"> </w:t>
            </w:r>
            <w:proofErr w:type="spellStart"/>
            <w:r w:rsidRPr="004F53F1">
              <w:rPr>
                <w:color w:val="000000"/>
              </w:rPr>
              <w:t>payé</w:t>
            </w:r>
            <w:proofErr w:type="spellEnd"/>
            <w:r w:rsidRPr="004F53F1">
              <w:rPr>
                <w:color w:val="000000"/>
              </w:rPr>
              <w:t xml:space="preserve">“, Revue de jurisprudence </w:t>
            </w:r>
            <w:proofErr w:type="spellStart"/>
            <w:r w:rsidRPr="004F53F1">
              <w:rPr>
                <w:color w:val="000000"/>
              </w:rPr>
              <w:t>sociale</w:t>
            </w:r>
            <w:proofErr w:type="spellEnd"/>
            <w:r w:rsidRPr="004F53F1">
              <w:rPr>
                <w:color w:val="000000"/>
              </w:rPr>
              <w:t>, 2019, n°2, s. 80.</w:t>
            </w:r>
          </w:p>
          <w:p w14:paraId="1E843D1B" w14:textId="77777777" w:rsidR="008239CE" w:rsidRDefault="008239CE" w:rsidP="005F0568">
            <w:pPr>
              <w:jc w:val="both"/>
              <w:rPr>
                <w:color w:val="000000"/>
              </w:rPr>
            </w:pPr>
          </w:p>
          <w:p w14:paraId="5228EE81" w14:textId="77777777" w:rsidR="008239CE" w:rsidRPr="004F53F1" w:rsidRDefault="007A549D" w:rsidP="004F53F1">
            <w:pPr>
              <w:pStyle w:val="Odstavecseseznamem"/>
              <w:numPr>
                <w:ilvl w:val="0"/>
                <w:numId w:val="6"/>
              </w:numPr>
              <w:jc w:val="both"/>
              <w:rPr>
                <w:color w:val="000000"/>
              </w:rPr>
            </w:pPr>
            <w:r w:rsidRPr="004F53F1">
              <w:rPr>
                <w:color w:val="000000"/>
              </w:rPr>
              <w:t xml:space="preserve">H. </w:t>
            </w:r>
            <w:proofErr w:type="spellStart"/>
            <w:r w:rsidRPr="004F53F1">
              <w:rPr>
                <w:color w:val="000000"/>
              </w:rPr>
              <w:t>Nasom-Tissandier</w:t>
            </w:r>
            <w:proofErr w:type="spellEnd"/>
            <w:r w:rsidRPr="004F53F1">
              <w:rPr>
                <w:color w:val="000000"/>
              </w:rPr>
              <w:t>, „</w:t>
            </w:r>
            <w:proofErr w:type="spellStart"/>
            <w:r w:rsidRPr="004F53F1">
              <w:rPr>
                <w:color w:val="000000"/>
              </w:rPr>
              <w:t>Le</w:t>
            </w:r>
            <w:proofErr w:type="spellEnd"/>
            <w:r w:rsidRPr="004F53F1">
              <w:rPr>
                <w:color w:val="000000"/>
              </w:rPr>
              <w:t xml:space="preserve"> </w:t>
            </w:r>
            <w:proofErr w:type="spellStart"/>
            <w:r w:rsidRPr="004F53F1">
              <w:rPr>
                <w:color w:val="000000"/>
              </w:rPr>
              <w:t>droit</w:t>
            </w:r>
            <w:proofErr w:type="spellEnd"/>
            <w:r w:rsidRPr="004F53F1">
              <w:rPr>
                <w:color w:val="000000"/>
              </w:rPr>
              <w:t xml:space="preserve"> au </w:t>
            </w:r>
            <w:proofErr w:type="spellStart"/>
            <w:r w:rsidRPr="004F53F1">
              <w:rPr>
                <w:color w:val="000000"/>
              </w:rPr>
              <w:t>congé</w:t>
            </w:r>
            <w:proofErr w:type="spellEnd"/>
            <w:r w:rsidRPr="004F53F1">
              <w:rPr>
                <w:color w:val="000000"/>
              </w:rPr>
              <w:t xml:space="preserve"> </w:t>
            </w:r>
            <w:proofErr w:type="spellStart"/>
            <w:r w:rsidRPr="004F53F1">
              <w:rPr>
                <w:color w:val="000000"/>
              </w:rPr>
              <w:t>annuel</w:t>
            </w:r>
            <w:proofErr w:type="spellEnd"/>
            <w:r w:rsidRPr="004F53F1">
              <w:rPr>
                <w:color w:val="000000"/>
              </w:rPr>
              <w:t xml:space="preserve"> </w:t>
            </w:r>
            <w:proofErr w:type="spellStart"/>
            <w:r w:rsidRPr="004F53F1">
              <w:rPr>
                <w:color w:val="000000"/>
              </w:rPr>
              <w:t>payé</w:t>
            </w:r>
            <w:proofErr w:type="spellEnd"/>
            <w:r w:rsidRPr="004F53F1">
              <w:rPr>
                <w:color w:val="000000"/>
              </w:rPr>
              <w:t xml:space="preserve"> </w:t>
            </w:r>
            <w:proofErr w:type="spellStart"/>
            <w:r w:rsidRPr="004F53F1">
              <w:rPr>
                <w:color w:val="000000"/>
              </w:rPr>
              <w:t>est-il</w:t>
            </w:r>
            <w:proofErr w:type="spellEnd"/>
            <w:r w:rsidRPr="004F53F1">
              <w:rPr>
                <w:color w:val="000000"/>
              </w:rPr>
              <w:t xml:space="preserve"> </w:t>
            </w:r>
            <w:proofErr w:type="spellStart"/>
            <w:r w:rsidRPr="004F53F1">
              <w:rPr>
                <w:color w:val="000000"/>
              </w:rPr>
              <w:t>un</w:t>
            </w:r>
            <w:proofErr w:type="spellEnd"/>
            <w:r w:rsidRPr="004F53F1">
              <w:rPr>
                <w:color w:val="000000"/>
              </w:rPr>
              <w:t xml:space="preserve"> principe </w:t>
            </w:r>
            <w:proofErr w:type="spellStart"/>
            <w:r w:rsidRPr="004F53F1">
              <w:rPr>
                <w:color w:val="000000"/>
              </w:rPr>
              <w:t>général</w:t>
            </w:r>
            <w:proofErr w:type="spellEnd"/>
            <w:r w:rsidRPr="004F53F1">
              <w:rPr>
                <w:color w:val="000000"/>
              </w:rPr>
              <w:t xml:space="preserve"> </w:t>
            </w:r>
            <w:proofErr w:type="spellStart"/>
            <w:r w:rsidRPr="004F53F1">
              <w:rPr>
                <w:color w:val="000000"/>
              </w:rPr>
              <w:t>du</w:t>
            </w:r>
            <w:proofErr w:type="spellEnd"/>
            <w:r w:rsidRPr="004F53F1">
              <w:rPr>
                <w:color w:val="000000"/>
              </w:rPr>
              <w:t xml:space="preserve"> </w:t>
            </w:r>
            <w:proofErr w:type="spellStart"/>
            <w:r w:rsidRPr="004F53F1">
              <w:rPr>
                <w:color w:val="000000"/>
              </w:rPr>
              <w:t>droit</w:t>
            </w:r>
            <w:proofErr w:type="spellEnd"/>
            <w:r w:rsidRPr="004F53F1">
              <w:rPr>
                <w:color w:val="000000"/>
              </w:rPr>
              <w:t xml:space="preserve"> de </w:t>
            </w:r>
            <w:proofErr w:type="spellStart"/>
            <w:proofErr w:type="gramStart"/>
            <w:r w:rsidRPr="004F53F1">
              <w:rPr>
                <w:color w:val="000000"/>
              </w:rPr>
              <w:t>l’Union</w:t>
            </w:r>
            <w:proofErr w:type="spellEnd"/>
            <w:r w:rsidRPr="004F53F1">
              <w:rPr>
                <w:color w:val="000000"/>
              </w:rPr>
              <w:t xml:space="preserve"> ?</w:t>
            </w:r>
            <w:proofErr w:type="gramEnd"/>
            <w:r w:rsidRPr="004F53F1">
              <w:rPr>
                <w:color w:val="000000"/>
              </w:rPr>
              <w:t xml:space="preserve"> La CJUE </w:t>
            </w:r>
            <w:proofErr w:type="spellStart"/>
            <w:r w:rsidRPr="004F53F1">
              <w:rPr>
                <w:color w:val="000000"/>
              </w:rPr>
              <w:t>entre</w:t>
            </w:r>
            <w:proofErr w:type="spellEnd"/>
            <w:r w:rsidRPr="004F53F1">
              <w:rPr>
                <w:color w:val="000000"/>
              </w:rPr>
              <w:t xml:space="preserve"> </w:t>
            </w:r>
            <w:proofErr w:type="spellStart"/>
            <w:r w:rsidRPr="004F53F1">
              <w:rPr>
                <w:color w:val="000000"/>
              </w:rPr>
              <w:t>fermeté</w:t>
            </w:r>
            <w:proofErr w:type="spellEnd"/>
            <w:r w:rsidRPr="004F53F1">
              <w:rPr>
                <w:color w:val="000000"/>
              </w:rPr>
              <w:t xml:space="preserve"> et </w:t>
            </w:r>
            <w:proofErr w:type="spellStart"/>
            <w:r w:rsidRPr="004F53F1">
              <w:rPr>
                <w:color w:val="000000"/>
              </w:rPr>
              <w:t>indécision</w:t>
            </w:r>
            <w:proofErr w:type="spellEnd"/>
            <w:r w:rsidRPr="004F53F1">
              <w:rPr>
                <w:color w:val="000000"/>
              </w:rPr>
              <w:t xml:space="preserve">“, Revue de jurisprudence </w:t>
            </w:r>
            <w:proofErr w:type="spellStart"/>
            <w:r w:rsidRPr="004F53F1">
              <w:rPr>
                <w:color w:val="000000"/>
              </w:rPr>
              <w:t>sociale</w:t>
            </w:r>
            <w:proofErr w:type="spellEnd"/>
            <w:r w:rsidRPr="004F53F1">
              <w:rPr>
                <w:color w:val="000000"/>
              </w:rPr>
              <w:t>, 2012, s. 261-263.</w:t>
            </w:r>
          </w:p>
          <w:p w14:paraId="07529F76" w14:textId="77777777" w:rsidR="008239CE" w:rsidRDefault="008239CE" w:rsidP="005F0568">
            <w:pPr>
              <w:jc w:val="both"/>
              <w:rPr>
                <w:color w:val="000000"/>
              </w:rPr>
            </w:pPr>
          </w:p>
          <w:p w14:paraId="07BC281E" w14:textId="77777777" w:rsidR="008239CE" w:rsidRPr="004F53F1" w:rsidRDefault="007A549D" w:rsidP="004F53F1">
            <w:pPr>
              <w:pStyle w:val="Odstavecseseznamem"/>
              <w:numPr>
                <w:ilvl w:val="0"/>
                <w:numId w:val="6"/>
              </w:numPr>
              <w:jc w:val="both"/>
              <w:rPr>
                <w:color w:val="000000"/>
              </w:rPr>
            </w:pPr>
            <w:r w:rsidRPr="004F53F1">
              <w:rPr>
                <w:color w:val="000000"/>
              </w:rPr>
              <w:t>L. He, „</w:t>
            </w:r>
            <w:proofErr w:type="spellStart"/>
            <w:r w:rsidRPr="004F53F1">
              <w:rPr>
                <w:color w:val="000000"/>
              </w:rPr>
              <w:t>Une</w:t>
            </w:r>
            <w:proofErr w:type="spellEnd"/>
            <w:r w:rsidRPr="004F53F1">
              <w:rPr>
                <w:color w:val="000000"/>
              </w:rPr>
              <w:t xml:space="preserve"> </w:t>
            </w:r>
            <w:proofErr w:type="spellStart"/>
            <w:r w:rsidRPr="004F53F1">
              <w:rPr>
                <w:color w:val="000000"/>
              </w:rPr>
              <w:t>protection</w:t>
            </w:r>
            <w:proofErr w:type="spellEnd"/>
            <w:r w:rsidRPr="004F53F1">
              <w:rPr>
                <w:color w:val="000000"/>
              </w:rPr>
              <w:t xml:space="preserve"> </w:t>
            </w:r>
            <w:proofErr w:type="spellStart"/>
            <w:r w:rsidRPr="004F53F1">
              <w:rPr>
                <w:color w:val="000000"/>
              </w:rPr>
              <w:t>remarquable</w:t>
            </w:r>
            <w:proofErr w:type="spellEnd"/>
            <w:r w:rsidRPr="004F53F1">
              <w:rPr>
                <w:color w:val="000000"/>
              </w:rPr>
              <w:t xml:space="preserve"> </w:t>
            </w:r>
            <w:proofErr w:type="spellStart"/>
            <w:r w:rsidRPr="004F53F1">
              <w:rPr>
                <w:color w:val="000000"/>
              </w:rPr>
              <w:t>du</w:t>
            </w:r>
            <w:proofErr w:type="spellEnd"/>
            <w:r w:rsidRPr="004F53F1">
              <w:rPr>
                <w:color w:val="000000"/>
              </w:rPr>
              <w:t xml:space="preserve"> </w:t>
            </w:r>
            <w:proofErr w:type="spellStart"/>
            <w:r w:rsidRPr="004F53F1">
              <w:rPr>
                <w:color w:val="000000"/>
              </w:rPr>
              <w:t>droit</w:t>
            </w:r>
            <w:proofErr w:type="spellEnd"/>
            <w:r w:rsidRPr="004F53F1">
              <w:rPr>
                <w:color w:val="000000"/>
              </w:rPr>
              <w:t xml:space="preserve"> au </w:t>
            </w:r>
            <w:proofErr w:type="spellStart"/>
            <w:r w:rsidRPr="004F53F1">
              <w:rPr>
                <w:color w:val="000000"/>
              </w:rPr>
              <w:t>repos</w:t>
            </w:r>
            <w:proofErr w:type="spellEnd"/>
            <w:r w:rsidRPr="004F53F1">
              <w:rPr>
                <w:color w:val="000000"/>
              </w:rPr>
              <w:t xml:space="preserve"> et au </w:t>
            </w:r>
            <w:proofErr w:type="spellStart"/>
            <w:r w:rsidRPr="004F53F1">
              <w:rPr>
                <w:color w:val="000000"/>
              </w:rPr>
              <w:t>loisir</w:t>
            </w:r>
            <w:proofErr w:type="spellEnd"/>
            <w:r w:rsidRPr="004F53F1">
              <w:rPr>
                <w:color w:val="000000"/>
              </w:rPr>
              <w:t>“, RTDE, 2019, s. 651</w:t>
            </w:r>
          </w:p>
          <w:p w14:paraId="585BCDDB" w14:textId="77777777" w:rsidR="008239CE" w:rsidRDefault="008239CE" w:rsidP="005F0568">
            <w:pPr>
              <w:jc w:val="both"/>
              <w:rPr>
                <w:color w:val="000000"/>
              </w:rPr>
            </w:pPr>
          </w:p>
          <w:p w14:paraId="54F524EC" w14:textId="77777777" w:rsidR="008239CE" w:rsidRPr="004F53F1" w:rsidRDefault="007A549D" w:rsidP="004F53F1">
            <w:pPr>
              <w:pStyle w:val="Odstavecseseznamem"/>
              <w:numPr>
                <w:ilvl w:val="0"/>
                <w:numId w:val="6"/>
              </w:numPr>
              <w:jc w:val="both"/>
              <w:rPr>
                <w:color w:val="000000"/>
              </w:rPr>
            </w:pPr>
            <w:r w:rsidRPr="004F53F1">
              <w:rPr>
                <w:color w:val="000000"/>
              </w:rPr>
              <w:t>S. Robin-Olivier, „</w:t>
            </w:r>
            <w:proofErr w:type="spellStart"/>
            <w:r w:rsidRPr="004F53F1">
              <w:rPr>
                <w:color w:val="000000"/>
              </w:rPr>
              <w:t>Article</w:t>
            </w:r>
            <w:proofErr w:type="spellEnd"/>
            <w:r w:rsidRPr="004F53F1">
              <w:rPr>
                <w:color w:val="000000"/>
              </w:rPr>
              <w:t xml:space="preserve"> 31 </w:t>
            </w:r>
            <w:proofErr w:type="spellStart"/>
            <w:r w:rsidRPr="004F53F1">
              <w:rPr>
                <w:color w:val="000000"/>
              </w:rPr>
              <w:t>conditions</w:t>
            </w:r>
            <w:proofErr w:type="spellEnd"/>
            <w:r w:rsidRPr="004F53F1">
              <w:rPr>
                <w:color w:val="000000"/>
              </w:rPr>
              <w:t xml:space="preserve"> de </w:t>
            </w:r>
            <w:proofErr w:type="spellStart"/>
            <w:r w:rsidRPr="004F53F1">
              <w:rPr>
                <w:color w:val="000000"/>
              </w:rPr>
              <w:t>travail</w:t>
            </w:r>
            <w:proofErr w:type="spellEnd"/>
            <w:r w:rsidRPr="004F53F1">
              <w:rPr>
                <w:color w:val="000000"/>
              </w:rPr>
              <w:t xml:space="preserve"> </w:t>
            </w:r>
            <w:proofErr w:type="spellStart"/>
            <w:r w:rsidRPr="004F53F1">
              <w:rPr>
                <w:color w:val="000000"/>
              </w:rPr>
              <w:t>justes</w:t>
            </w:r>
            <w:proofErr w:type="spellEnd"/>
            <w:r w:rsidRPr="004F53F1">
              <w:rPr>
                <w:color w:val="000000"/>
              </w:rPr>
              <w:t xml:space="preserve"> et </w:t>
            </w:r>
            <w:proofErr w:type="spellStart"/>
            <w:r w:rsidRPr="004F53F1">
              <w:rPr>
                <w:color w:val="000000"/>
              </w:rPr>
              <w:t>équitables</w:t>
            </w:r>
            <w:proofErr w:type="spellEnd"/>
            <w:r w:rsidRPr="004F53F1">
              <w:rPr>
                <w:color w:val="000000"/>
              </w:rPr>
              <w:t xml:space="preserve">“, in </w:t>
            </w:r>
            <w:proofErr w:type="spellStart"/>
            <w:r w:rsidRPr="004F53F1">
              <w:rPr>
                <w:color w:val="000000"/>
              </w:rPr>
              <w:t>Charte</w:t>
            </w:r>
            <w:proofErr w:type="spellEnd"/>
            <w:r w:rsidRPr="004F53F1">
              <w:rPr>
                <w:color w:val="000000"/>
              </w:rPr>
              <w:t xml:space="preserve"> des </w:t>
            </w:r>
            <w:proofErr w:type="spellStart"/>
            <w:r w:rsidRPr="004F53F1">
              <w:rPr>
                <w:color w:val="000000"/>
              </w:rPr>
              <w:t>droits</w:t>
            </w:r>
            <w:proofErr w:type="spellEnd"/>
            <w:r w:rsidRPr="004F53F1">
              <w:rPr>
                <w:color w:val="000000"/>
              </w:rPr>
              <w:t xml:space="preserve"> </w:t>
            </w:r>
            <w:proofErr w:type="spellStart"/>
            <w:r w:rsidRPr="004F53F1">
              <w:rPr>
                <w:color w:val="000000"/>
              </w:rPr>
              <w:t>fondamentaux</w:t>
            </w:r>
            <w:proofErr w:type="spellEnd"/>
            <w:r w:rsidRPr="004F53F1">
              <w:rPr>
                <w:color w:val="000000"/>
              </w:rPr>
              <w:t xml:space="preserve"> de </w:t>
            </w:r>
            <w:proofErr w:type="spellStart"/>
            <w:r w:rsidRPr="004F53F1">
              <w:rPr>
                <w:color w:val="000000"/>
              </w:rPr>
              <w:t>l’Union</w:t>
            </w:r>
            <w:proofErr w:type="spellEnd"/>
            <w:r w:rsidRPr="004F53F1">
              <w:rPr>
                <w:color w:val="000000"/>
              </w:rPr>
              <w:t xml:space="preserve"> </w:t>
            </w:r>
            <w:proofErr w:type="spellStart"/>
            <w:r w:rsidRPr="004F53F1">
              <w:rPr>
                <w:color w:val="000000"/>
              </w:rPr>
              <w:t>européenne</w:t>
            </w:r>
            <w:proofErr w:type="spellEnd"/>
            <w:r w:rsidRPr="004F53F1">
              <w:rPr>
                <w:color w:val="000000"/>
              </w:rPr>
              <w:t xml:space="preserve"> </w:t>
            </w:r>
            <w:proofErr w:type="spellStart"/>
            <w:r w:rsidRPr="004F53F1">
              <w:rPr>
                <w:color w:val="000000"/>
              </w:rPr>
              <w:t>commentaire</w:t>
            </w:r>
            <w:proofErr w:type="spellEnd"/>
            <w:r w:rsidRPr="004F53F1">
              <w:rPr>
                <w:color w:val="000000"/>
              </w:rPr>
              <w:t xml:space="preserve"> </w:t>
            </w:r>
            <w:proofErr w:type="spellStart"/>
            <w:r w:rsidRPr="004F53F1">
              <w:rPr>
                <w:color w:val="000000"/>
              </w:rPr>
              <w:t>article</w:t>
            </w:r>
            <w:proofErr w:type="spellEnd"/>
            <w:r w:rsidRPr="004F53F1">
              <w:rPr>
                <w:color w:val="000000"/>
              </w:rPr>
              <w:t xml:space="preserve"> par </w:t>
            </w:r>
            <w:proofErr w:type="spellStart"/>
            <w:r w:rsidRPr="004F53F1">
              <w:rPr>
                <w:color w:val="000000"/>
              </w:rPr>
              <w:t>article</w:t>
            </w:r>
            <w:proofErr w:type="spellEnd"/>
            <w:r w:rsidRPr="004F53F1">
              <w:rPr>
                <w:color w:val="000000"/>
              </w:rPr>
              <w:t xml:space="preserve">, 3ème </w:t>
            </w:r>
            <w:proofErr w:type="spellStart"/>
            <w:r w:rsidRPr="004F53F1">
              <w:rPr>
                <w:color w:val="000000"/>
              </w:rPr>
              <w:t>ed</w:t>
            </w:r>
            <w:proofErr w:type="spellEnd"/>
            <w:r w:rsidRPr="004F53F1">
              <w:rPr>
                <w:color w:val="000000"/>
              </w:rPr>
              <w:t xml:space="preserve">., </w:t>
            </w:r>
            <w:proofErr w:type="spellStart"/>
            <w:r w:rsidRPr="004F53F1">
              <w:rPr>
                <w:color w:val="000000"/>
              </w:rPr>
              <w:t>dir</w:t>
            </w:r>
            <w:proofErr w:type="spellEnd"/>
            <w:r w:rsidRPr="004F53F1">
              <w:rPr>
                <w:color w:val="000000"/>
              </w:rPr>
              <w:t xml:space="preserve">. F. </w:t>
            </w:r>
            <w:proofErr w:type="spellStart"/>
            <w:r w:rsidRPr="004F53F1">
              <w:rPr>
                <w:color w:val="000000"/>
              </w:rPr>
              <w:t>Picod</w:t>
            </w:r>
            <w:proofErr w:type="spellEnd"/>
            <w:r w:rsidRPr="004F53F1">
              <w:rPr>
                <w:color w:val="000000"/>
              </w:rPr>
              <w:t xml:space="preserve">, C. </w:t>
            </w:r>
            <w:proofErr w:type="spellStart"/>
            <w:r w:rsidRPr="004F53F1">
              <w:rPr>
                <w:color w:val="000000"/>
              </w:rPr>
              <w:t>Rizcallah</w:t>
            </w:r>
            <w:proofErr w:type="spellEnd"/>
            <w:r w:rsidRPr="004F53F1">
              <w:rPr>
                <w:color w:val="000000"/>
              </w:rPr>
              <w:t xml:space="preserve"> et S. Van </w:t>
            </w:r>
            <w:proofErr w:type="spellStart"/>
            <w:r w:rsidRPr="004F53F1">
              <w:rPr>
                <w:color w:val="000000"/>
              </w:rPr>
              <w:t>Drooghenbroeck</w:t>
            </w:r>
            <w:proofErr w:type="spellEnd"/>
            <w:r w:rsidRPr="004F53F1">
              <w:rPr>
                <w:color w:val="000000"/>
              </w:rPr>
              <w:t xml:space="preserve">, </w:t>
            </w:r>
            <w:proofErr w:type="spellStart"/>
            <w:r w:rsidRPr="004F53F1">
              <w:rPr>
                <w:color w:val="000000"/>
              </w:rPr>
              <w:t>Bruylant</w:t>
            </w:r>
            <w:proofErr w:type="spellEnd"/>
            <w:r w:rsidRPr="004F53F1">
              <w:rPr>
                <w:color w:val="000000"/>
              </w:rPr>
              <w:t>, s. 845</w:t>
            </w:r>
            <w:r w:rsidR="005F0568" w:rsidRPr="004F53F1">
              <w:rPr>
                <w:color w:val="000000"/>
              </w:rPr>
              <w:t xml:space="preserve"> a </w:t>
            </w:r>
            <w:r w:rsidRPr="004F53F1">
              <w:rPr>
                <w:color w:val="000000"/>
              </w:rPr>
              <w:t>násl.</w:t>
            </w:r>
          </w:p>
          <w:p w14:paraId="5B964DD2" w14:textId="77777777" w:rsidR="008239CE" w:rsidRDefault="008239CE" w:rsidP="005F0568">
            <w:pPr>
              <w:jc w:val="both"/>
            </w:pPr>
          </w:p>
          <w:p w14:paraId="30345432" w14:textId="77777777" w:rsidR="008239CE" w:rsidRDefault="007A549D" w:rsidP="004F53F1">
            <w:pPr>
              <w:pStyle w:val="Odstavecseseznamem"/>
              <w:numPr>
                <w:ilvl w:val="0"/>
                <w:numId w:val="6"/>
              </w:numPr>
              <w:jc w:val="both"/>
            </w:pPr>
            <w:proofErr w:type="spellStart"/>
            <w:r>
              <w:t>Bogg</w:t>
            </w:r>
            <w:proofErr w:type="spellEnd"/>
            <w:r>
              <w:t>, M. Ford, „</w:t>
            </w:r>
            <w:proofErr w:type="spellStart"/>
            <w:r>
              <w:t>Article</w:t>
            </w:r>
            <w:proofErr w:type="spellEnd"/>
            <w:r>
              <w:t xml:space="preserve"> </w:t>
            </w:r>
            <w:proofErr w:type="gramStart"/>
            <w:r>
              <w:t>31 :</w:t>
            </w:r>
            <w:proofErr w:type="gramEnd"/>
            <w:r>
              <w:t xml:space="preserve"> Fair and just </w:t>
            </w:r>
            <w:proofErr w:type="spellStart"/>
            <w:r>
              <w:t>working</w:t>
            </w:r>
            <w:proofErr w:type="spellEnd"/>
            <w:r>
              <w:t xml:space="preserve"> </w:t>
            </w:r>
            <w:proofErr w:type="spellStart"/>
            <w:r>
              <w:t>conditions</w:t>
            </w:r>
            <w:proofErr w:type="spellEnd"/>
            <w:r>
              <w:t> (</w:t>
            </w:r>
            <w:r w:rsidRPr="004F53F1">
              <w:rPr>
                <w:i/>
                <w:iCs/>
              </w:rPr>
              <w:t>Článek 31: Slušné</w:t>
            </w:r>
            <w:r w:rsidR="005F0568" w:rsidRPr="004F53F1">
              <w:rPr>
                <w:i/>
                <w:iCs/>
              </w:rPr>
              <w:t xml:space="preserve"> a </w:t>
            </w:r>
            <w:r w:rsidRPr="004F53F1">
              <w:rPr>
                <w:i/>
                <w:iCs/>
              </w:rPr>
              <w:t>spravedlivé pracovní podmínky</w:t>
            </w:r>
            <w:r>
              <w:t xml:space="preserve">)“, in </w:t>
            </w:r>
            <w:proofErr w:type="spellStart"/>
            <w:r>
              <w:t>Peers</w:t>
            </w:r>
            <w:proofErr w:type="spellEnd"/>
            <w:r>
              <w:t xml:space="preserve">, St </w:t>
            </w:r>
            <w:proofErr w:type="spellStart"/>
            <w:r>
              <w:t>hervey</w:t>
            </w:r>
            <w:proofErr w:type="spellEnd"/>
            <w:r>
              <w:t xml:space="preserve">, </w:t>
            </w:r>
            <w:proofErr w:type="spellStart"/>
            <w:r>
              <w:t>Kenner</w:t>
            </w:r>
            <w:proofErr w:type="spellEnd"/>
            <w:r>
              <w:t xml:space="preserve">, </w:t>
            </w:r>
            <w:proofErr w:type="spellStart"/>
            <w:r>
              <w:t>Ward</w:t>
            </w:r>
            <w:proofErr w:type="spellEnd"/>
            <w:r>
              <w:t xml:space="preserve"> (</w:t>
            </w:r>
            <w:proofErr w:type="spellStart"/>
            <w:r>
              <w:t>dir</w:t>
            </w:r>
            <w:proofErr w:type="spellEnd"/>
            <w:r>
              <w:t xml:space="preserve">), </w:t>
            </w:r>
            <w:proofErr w:type="spellStart"/>
            <w:r>
              <w:t>The</w:t>
            </w:r>
            <w:proofErr w:type="spellEnd"/>
            <w:r>
              <w:t xml:space="preserve"> EU Charter </w:t>
            </w:r>
            <w:proofErr w:type="spellStart"/>
            <w:r>
              <w:t>of</w:t>
            </w:r>
            <w:proofErr w:type="spellEnd"/>
            <w:r>
              <w:t xml:space="preserve"> </w:t>
            </w:r>
            <w:proofErr w:type="spellStart"/>
            <w:r>
              <w:t>fundamentals</w:t>
            </w:r>
            <w:proofErr w:type="spellEnd"/>
            <w:r>
              <w:t xml:space="preserve"> </w:t>
            </w:r>
            <w:proofErr w:type="spellStart"/>
            <w:r>
              <w:t>rights</w:t>
            </w:r>
            <w:proofErr w:type="spellEnd"/>
            <w:r>
              <w:t>.</w:t>
            </w:r>
            <w:r w:rsidR="005F0568">
              <w:t xml:space="preserve"> A </w:t>
            </w:r>
            <w:proofErr w:type="spellStart"/>
            <w:r>
              <w:t>commentary</w:t>
            </w:r>
            <w:proofErr w:type="spellEnd"/>
            <w:r>
              <w:t xml:space="preserve"> (</w:t>
            </w:r>
            <w:r w:rsidRPr="004F53F1">
              <w:rPr>
                <w:i/>
                <w:iCs/>
              </w:rPr>
              <w:t>Listina základních práv EU. Komentář</w:t>
            </w:r>
            <w:r>
              <w:t xml:space="preserve">), </w:t>
            </w:r>
            <w:proofErr w:type="spellStart"/>
            <w:r>
              <w:t>Munich</w:t>
            </w:r>
            <w:proofErr w:type="spellEnd"/>
            <w:r>
              <w:t>/Oxford/Baden Baden, Beck/Hart/Nomos,2021.</w:t>
            </w:r>
          </w:p>
          <w:p w14:paraId="628ED303" w14:textId="77777777" w:rsidR="008239CE" w:rsidRDefault="008239CE" w:rsidP="005F0568">
            <w:pPr>
              <w:jc w:val="both"/>
            </w:pPr>
          </w:p>
          <w:p w14:paraId="1C41F38F" w14:textId="77777777" w:rsidR="008239CE" w:rsidRDefault="007A549D" w:rsidP="004F53F1">
            <w:pPr>
              <w:pStyle w:val="Odstavecseseznamem"/>
              <w:numPr>
                <w:ilvl w:val="0"/>
                <w:numId w:val="6"/>
              </w:numPr>
              <w:jc w:val="both"/>
            </w:pPr>
            <w:r>
              <w:t>J. Mouly, „</w:t>
            </w:r>
            <w:proofErr w:type="spellStart"/>
            <w:r>
              <w:t>Le</w:t>
            </w:r>
            <w:proofErr w:type="spellEnd"/>
            <w:r>
              <w:t xml:space="preserve"> </w:t>
            </w:r>
            <w:proofErr w:type="spellStart"/>
            <w:r>
              <w:t>revirement</w:t>
            </w:r>
            <w:proofErr w:type="spellEnd"/>
            <w:r>
              <w:t xml:space="preserve"> </w:t>
            </w:r>
            <w:proofErr w:type="spellStart"/>
            <w:r>
              <w:t>relative</w:t>
            </w:r>
            <w:proofErr w:type="spellEnd"/>
            <w:r>
              <w:t xml:space="preserve"> au </w:t>
            </w:r>
            <w:proofErr w:type="spellStart"/>
            <w:r>
              <w:t>droit</w:t>
            </w:r>
            <w:proofErr w:type="spellEnd"/>
            <w:r>
              <w:t xml:space="preserve"> à </w:t>
            </w:r>
            <w:proofErr w:type="spellStart"/>
            <w:r>
              <w:t>congé</w:t>
            </w:r>
            <w:proofErr w:type="spellEnd"/>
            <w:r>
              <w:t xml:space="preserve"> </w:t>
            </w:r>
            <w:proofErr w:type="spellStart"/>
            <w:r>
              <w:t>payé</w:t>
            </w:r>
            <w:proofErr w:type="spellEnd"/>
            <w:r>
              <w:t xml:space="preserve"> – </w:t>
            </w:r>
            <w:proofErr w:type="spellStart"/>
            <w:r>
              <w:t>Une</w:t>
            </w:r>
            <w:proofErr w:type="spellEnd"/>
            <w:r>
              <w:t xml:space="preserve"> jurisprudence pas </w:t>
            </w:r>
            <w:proofErr w:type="spellStart"/>
            <w:r>
              <w:t>tout</w:t>
            </w:r>
            <w:proofErr w:type="spellEnd"/>
            <w:r>
              <w:t xml:space="preserve"> à fait </w:t>
            </w:r>
            <w:proofErr w:type="spellStart"/>
            <w:r>
              <w:t>nouvelle</w:t>
            </w:r>
            <w:proofErr w:type="spellEnd"/>
            <w:r>
              <w:t>“</w:t>
            </w:r>
            <w:r w:rsidR="005F0568">
              <w:t xml:space="preserve"> A </w:t>
            </w:r>
            <w:r>
              <w:t xml:space="preserve">propos de </w:t>
            </w:r>
            <w:proofErr w:type="spellStart"/>
            <w:r>
              <w:t>l’arrêt</w:t>
            </w:r>
            <w:proofErr w:type="spellEnd"/>
            <w:r>
              <w:t xml:space="preserve"> de la Cour de </w:t>
            </w:r>
            <w:proofErr w:type="spellStart"/>
            <w:r>
              <w:t>cassation</w:t>
            </w:r>
            <w:proofErr w:type="spellEnd"/>
            <w:r>
              <w:t xml:space="preserve"> </w:t>
            </w:r>
            <w:proofErr w:type="spellStart"/>
            <w:r>
              <w:t>français</w:t>
            </w:r>
            <w:proofErr w:type="spellEnd"/>
            <w:r>
              <w:t xml:space="preserve"> </w:t>
            </w:r>
            <w:proofErr w:type="spellStart"/>
            <w:r>
              <w:t>du</w:t>
            </w:r>
            <w:proofErr w:type="spellEnd"/>
            <w:r>
              <w:t xml:space="preserve"> 13/09/2023, Dr. Soc. </w:t>
            </w:r>
            <w:proofErr w:type="spellStart"/>
            <w:r>
              <w:t>fev</w:t>
            </w:r>
            <w:proofErr w:type="spellEnd"/>
            <w:r>
              <w:t>. 2024, s. 174</w:t>
            </w:r>
            <w:r w:rsidR="005F0568">
              <w:t xml:space="preserve"> a </w:t>
            </w:r>
            <w:r>
              <w:t>násl.</w:t>
            </w:r>
          </w:p>
          <w:p w14:paraId="292963C8" w14:textId="77777777" w:rsidR="008239CE" w:rsidRDefault="008239CE" w:rsidP="005F0568">
            <w:pPr>
              <w:jc w:val="both"/>
            </w:pPr>
          </w:p>
          <w:p w14:paraId="33E5B74A" w14:textId="77777777" w:rsidR="008239CE" w:rsidRDefault="007A549D" w:rsidP="004F53F1">
            <w:pPr>
              <w:pStyle w:val="Odstavecseseznamem"/>
              <w:numPr>
                <w:ilvl w:val="0"/>
                <w:numId w:val="6"/>
              </w:numPr>
              <w:jc w:val="both"/>
            </w:pPr>
            <w:r>
              <w:t>Příručka evropského antidiskriminačního práva. Vydání 2018:</w:t>
            </w:r>
          </w:p>
          <w:p w14:paraId="0EB55E3D" w14:textId="77777777" w:rsidR="008239CE" w:rsidRDefault="007A549D" w:rsidP="004F53F1">
            <w:pPr>
              <w:ind w:left="709"/>
              <w:jc w:val="both"/>
            </w:pPr>
            <w:hyperlink r:id="rId17">
              <w:r>
                <w:rPr>
                  <w:color w:val="0000FF"/>
                  <w:u w:val="single"/>
                </w:rPr>
                <w:t xml:space="preserve">Handbook on </w:t>
              </w:r>
              <w:proofErr w:type="spellStart"/>
              <w:r>
                <w:rPr>
                  <w:color w:val="0000FF"/>
                  <w:u w:val="single"/>
                </w:rPr>
                <w:t>European</w:t>
              </w:r>
              <w:proofErr w:type="spellEnd"/>
              <w:r>
                <w:rPr>
                  <w:color w:val="0000FF"/>
                  <w:u w:val="single"/>
                </w:rPr>
                <w:t xml:space="preserve"> non-</w:t>
              </w:r>
              <w:proofErr w:type="spellStart"/>
              <w:r>
                <w:rPr>
                  <w:color w:val="0000FF"/>
                  <w:u w:val="single"/>
                </w:rPr>
                <w:t>discrimination</w:t>
              </w:r>
              <w:proofErr w:type="spellEnd"/>
              <w:r>
                <w:rPr>
                  <w:color w:val="0000FF"/>
                  <w:u w:val="single"/>
                </w:rPr>
                <w:t xml:space="preserve"> </w:t>
              </w:r>
              <w:proofErr w:type="spellStart"/>
              <w:r>
                <w:rPr>
                  <w:color w:val="0000FF"/>
                  <w:u w:val="single"/>
                </w:rPr>
                <w:t>law</w:t>
              </w:r>
              <w:proofErr w:type="spellEnd"/>
              <w:r>
                <w:rPr>
                  <w:color w:val="0000FF"/>
                  <w:u w:val="single"/>
                </w:rPr>
                <w:t xml:space="preserve"> – 2018 </w:t>
              </w:r>
              <w:proofErr w:type="spellStart"/>
              <w:r>
                <w:rPr>
                  <w:color w:val="0000FF"/>
                  <w:u w:val="single"/>
                </w:rPr>
                <w:t>edition</w:t>
              </w:r>
              <w:proofErr w:type="spellEnd"/>
              <w:r>
                <w:rPr>
                  <w:color w:val="0000FF"/>
                  <w:u w:val="single"/>
                </w:rPr>
                <w:t xml:space="preserve"> | </w:t>
              </w:r>
              <w:proofErr w:type="spellStart"/>
              <w:r>
                <w:rPr>
                  <w:color w:val="0000FF"/>
                  <w:u w:val="single"/>
                </w:rPr>
                <w:t>European</w:t>
              </w:r>
              <w:proofErr w:type="spellEnd"/>
              <w:r>
                <w:rPr>
                  <w:color w:val="0000FF"/>
                  <w:u w:val="single"/>
                </w:rPr>
                <w:t xml:space="preserve"> Union </w:t>
              </w:r>
              <w:proofErr w:type="spellStart"/>
              <w:r>
                <w:rPr>
                  <w:color w:val="0000FF"/>
                  <w:u w:val="single"/>
                </w:rPr>
                <w:t>Agency</w:t>
              </w:r>
              <w:proofErr w:type="spellEnd"/>
              <w:r>
                <w:rPr>
                  <w:color w:val="0000FF"/>
                  <w:u w:val="single"/>
                </w:rPr>
                <w:t xml:space="preserve"> </w:t>
              </w:r>
              <w:proofErr w:type="spellStart"/>
              <w:r>
                <w:rPr>
                  <w:color w:val="0000FF"/>
                  <w:u w:val="single"/>
                </w:rPr>
                <w:t>for</w:t>
              </w:r>
              <w:proofErr w:type="spellEnd"/>
              <w:r>
                <w:rPr>
                  <w:color w:val="0000FF"/>
                  <w:u w:val="single"/>
                </w:rPr>
                <w:t xml:space="preserve"> </w:t>
              </w:r>
              <w:proofErr w:type="spellStart"/>
              <w:r>
                <w:rPr>
                  <w:color w:val="0000FF"/>
                  <w:u w:val="single"/>
                </w:rPr>
                <w:t>Fundamental</w:t>
              </w:r>
              <w:proofErr w:type="spellEnd"/>
              <w:r>
                <w:rPr>
                  <w:color w:val="0000FF"/>
                  <w:u w:val="single"/>
                </w:rPr>
                <w:t xml:space="preserve"> </w:t>
              </w:r>
              <w:proofErr w:type="spellStart"/>
              <w:r>
                <w:rPr>
                  <w:color w:val="0000FF"/>
                  <w:u w:val="single"/>
                </w:rPr>
                <w:t>Rights</w:t>
              </w:r>
              <w:proofErr w:type="spellEnd"/>
              <w:r>
                <w:rPr>
                  <w:color w:val="0000FF"/>
                  <w:u w:val="single"/>
                </w:rPr>
                <w:t xml:space="preserve"> (europa.eu)</w:t>
              </w:r>
            </w:hyperlink>
          </w:p>
          <w:p w14:paraId="5EED0128" w14:textId="77777777" w:rsidR="008239CE" w:rsidRDefault="008239CE" w:rsidP="005F0568">
            <w:pPr>
              <w:jc w:val="both"/>
              <w:rPr>
                <w:i/>
                <w:color w:val="000000"/>
              </w:rPr>
            </w:pPr>
          </w:p>
        </w:tc>
      </w:tr>
    </w:tbl>
    <w:p w14:paraId="7FB379B6" w14:textId="77777777" w:rsidR="008239CE" w:rsidRDefault="008239CE">
      <w:pPr>
        <w:rPr>
          <w:sz w:val="22"/>
          <w:szCs w:val="22"/>
        </w:rPr>
      </w:pPr>
    </w:p>
    <w:sectPr w:rsidR="008239CE" w:rsidSect="008239CE">
      <w:pgSz w:w="11906" w:h="16838"/>
      <w:pgMar w:top="1417" w:right="1701" w:bottom="1040" w:left="1701"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339B"/>
    <w:multiLevelType w:val="multilevel"/>
    <w:tmpl w:val="125A46E4"/>
    <w:lvl w:ilvl="0">
      <w:start w:val="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F10719"/>
    <w:multiLevelType w:val="multilevel"/>
    <w:tmpl w:val="E2B24CD4"/>
    <w:lvl w:ilvl="0">
      <w:start w:val="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EBA1DB4"/>
    <w:multiLevelType w:val="multilevel"/>
    <w:tmpl w:val="690C84BE"/>
    <w:lvl w:ilvl="0">
      <w:start w:val="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5EE10A9"/>
    <w:multiLevelType w:val="multilevel"/>
    <w:tmpl w:val="C4FA45BE"/>
    <w:lvl w:ilvl="0">
      <w:start w:val="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4D17EE3"/>
    <w:multiLevelType w:val="hybridMultilevel"/>
    <w:tmpl w:val="54E2C5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DBB3E93"/>
    <w:multiLevelType w:val="multilevel"/>
    <w:tmpl w:val="ABFC8AE6"/>
    <w:lvl w:ilvl="0">
      <w:start w:val="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12527809">
    <w:abstractNumId w:val="2"/>
  </w:num>
  <w:num w:numId="2" w16cid:durableId="1606494815">
    <w:abstractNumId w:val="0"/>
  </w:num>
  <w:num w:numId="3" w16cid:durableId="283654109">
    <w:abstractNumId w:val="3"/>
  </w:num>
  <w:num w:numId="4" w16cid:durableId="1118568725">
    <w:abstractNumId w:val="5"/>
  </w:num>
  <w:num w:numId="5" w16cid:durableId="1727143567">
    <w:abstractNumId w:val="1"/>
  </w:num>
  <w:num w:numId="6" w16cid:durableId="1927675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239CE"/>
    <w:rsid w:val="0000743F"/>
    <w:rsid w:val="00025377"/>
    <w:rsid w:val="000D4C77"/>
    <w:rsid w:val="000E7492"/>
    <w:rsid w:val="00200C55"/>
    <w:rsid w:val="00367012"/>
    <w:rsid w:val="004F53F1"/>
    <w:rsid w:val="005F0568"/>
    <w:rsid w:val="007A549D"/>
    <w:rsid w:val="008239CE"/>
    <w:rsid w:val="00831E98"/>
    <w:rsid w:val="008846E1"/>
    <w:rsid w:val="00AB584C"/>
    <w:rsid w:val="00B53CC0"/>
    <w:rsid w:val="00D239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B99A161"/>
  <w15:docId w15:val="{BE0157DA-B881-4158-AD84-AE456DF0C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39CE"/>
  </w:style>
  <w:style w:type="paragraph" w:styleId="Nadpis1">
    <w:name w:val="heading 1"/>
    <w:basedOn w:val="Normln1"/>
    <w:next w:val="Normln1"/>
    <w:rsid w:val="008239CE"/>
    <w:pPr>
      <w:keepNext/>
      <w:keepLines/>
      <w:spacing w:before="480" w:after="120"/>
      <w:outlineLvl w:val="0"/>
    </w:pPr>
    <w:rPr>
      <w:b/>
      <w:sz w:val="48"/>
      <w:szCs w:val="48"/>
    </w:rPr>
  </w:style>
  <w:style w:type="paragraph" w:styleId="Nadpis2">
    <w:name w:val="heading 2"/>
    <w:basedOn w:val="Normln1"/>
    <w:next w:val="Normln1"/>
    <w:rsid w:val="008239CE"/>
    <w:pPr>
      <w:keepNext/>
      <w:keepLines/>
      <w:spacing w:before="360" w:after="80"/>
      <w:outlineLvl w:val="1"/>
    </w:pPr>
    <w:rPr>
      <w:b/>
      <w:sz w:val="36"/>
      <w:szCs w:val="36"/>
    </w:rPr>
  </w:style>
  <w:style w:type="paragraph" w:styleId="Nadpis3">
    <w:name w:val="heading 3"/>
    <w:basedOn w:val="Normln1"/>
    <w:next w:val="Normln1"/>
    <w:rsid w:val="008239CE"/>
    <w:pPr>
      <w:keepNext/>
      <w:keepLines/>
      <w:spacing w:before="280" w:after="80"/>
      <w:outlineLvl w:val="2"/>
    </w:pPr>
    <w:rPr>
      <w:b/>
      <w:sz w:val="28"/>
      <w:szCs w:val="28"/>
    </w:rPr>
  </w:style>
  <w:style w:type="paragraph" w:styleId="Nadpis4">
    <w:name w:val="heading 4"/>
    <w:basedOn w:val="Normln1"/>
    <w:next w:val="Normln1"/>
    <w:rsid w:val="008239CE"/>
    <w:pPr>
      <w:keepNext/>
      <w:keepLines/>
      <w:spacing w:before="240" w:after="40"/>
      <w:outlineLvl w:val="3"/>
    </w:pPr>
    <w:rPr>
      <w:b/>
    </w:rPr>
  </w:style>
  <w:style w:type="paragraph" w:styleId="Nadpis5">
    <w:name w:val="heading 5"/>
    <w:basedOn w:val="Normln1"/>
    <w:next w:val="Normln1"/>
    <w:rsid w:val="008239CE"/>
    <w:pPr>
      <w:keepNext/>
      <w:keepLines/>
      <w:spacing w:before="220" w:after="40"/>
      <w:outlineLvl w:val="4"/>
    </w:pPr>
    <w:rPr>
      <w:b/>
      <w:sz w:val="22"/>
      <w:szCs w:val="22"/>
    </w:rPr>
  </w:style>
  <w:style w:type="paragraph" w:styleId="Nadpis6">
    <w:name w:val="heading 6"/>
    <w:basedOn w:val="Normln1"/>
    <w:next w:val="Normln1"/>
    <w:rsid w:val="008239CE"/>
    <w:pPr>
      <w:keepNext/>
      <w:keepLines/>
      <w:spacing w:before="200" w:after="40"/>
      <w:outlineLvl w:val="5"/>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8239CE"/>
  </w:style>
  <w:style w:type="table" w:customStyle="1" w:styleId="TableNormal">
    <w:name w:val="Table Normal"/>
    <w:rsid w:val="008239CE"/>
    <w:tblPr>
      <w:tblCellMar>
        <w:top w:w="0" w:type="dxa"/>
        <w:left w:w="0" w:type="dxa"/>
        <w:bottom w:w="0" w:type="dxa"/>
        <w:right w:w="0" w:type="dxa"/>
      </w:tblCellMar>
    </w:tblPr>
  </w:style>
  <w:style w:type="paragraph" w:styleId="Nzev">
    <w:name w:val="Title"/>
    <w:basedOn w:val="Normln1"/>
    <w:next w:val="Normln1"/>
    <w:rsid w:val="008239CE"/>
    <w:pPr>
      <w:keepNext/>
      <w:keepLines/>
      <w:spacing w:before="480" w:after="120"/>
    </w:pPr>
    <w:rPr>
      <w:b/>
      <w:sz w:val="72"/>
      <w:szCs w:val="72"/>
    </w:rPr>
  </w:style>
  <w:style w:type="paragraph" w:styleId="Normlnweb">
    <w:name w:val="Normal (Web)"/>
    <w:basedOn w:val="Normln"/>
    <w:uiPriority w:val="99"/>
    <w:unhideWhenUsed/>
    <w:rsid w:val="0067453B"/>
    <w:pPr>
      <w:spacing w:before="100" w:beforeAutospacing="1" w:after="100" w:afterAutospacing="1"/>
    </w:pPr>
    <w:rPr>
      <w:rFonts w:ascii="Times New Roman" w:eastAsia="Times New Roman" w:hAnsi="Times New Roman" w:cs="Times New Roman"/>
      <w:lang w:eastAsia="es-ES_tradnl"/>
    </w:rPr>
  </w:style>
  <w:style w:type="table" w:styleId="Mkatabulky">
    <w:name w:val="Table Grid"/>
    <w:basedOn w:val="Normlntabulka"/>
    <w:uiPriority w:val="39"/>
    <w:rsid w:val="00B43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C502E"/>
    <w:pPr>
      <w:ind w:left="720"/>
      <w:contextualSpacing/>
    </w:pPr>
  </w:style>
  <w:style w:type="character" w:customStyle="1" w:styleId="ui-provider">
    <w:name w:val="ui-provider"/>
    <w:basedOn w:val="Standardnpsmoodstavce"/>
    <w:rsid w:val="001B1D88"/>
  </w:style>
  <w:style w:type="character" w:styleId="Hypertextovodkaz">
    <w:name w:val="Hyperlink"/>
    <w:basedOn w:val="Standardnpsmoodstavce"/>
    <w:uiPriority w:val="99"/>
    <w:unhideWhenUsed/>
    <w:rsid w:val="001B1D88"/>
    <w:rPr>
      <w:color w:val="0000FF"/>
      <w:u w:val="single"/>
    </w:rPr>
  </w:style>
  <w:style w:type="character" w:customStyle="1" w:styleId="Nevyeenzmnka1">
    <w:name w:val="Nevyřešená zmínka1"/>
    <w:basedOn w:val="Standardnpsmoodstavce"/>
    <w:uiPriority w:val="99"/>
    <w:semiHidden/>
    <w:unhideWhenUsed/>
    <w:rsid w:val="00F31726"/>
    <w:rPr>
      <w:color w:val="605E5C"/>
      <w:shd w:val="clear" w:color="auto" w:fill="E1DFDD"/>
    </w:rPr>
  </w:style>
  <w:style w:type="character" w:styleId="Sledovanodkaz">
    <w:name w:val="FollowedHyperlink"/>
    <w:basedOn w:val="Standardnpsmoodstavce"/>
    <w:uiPriority w:val="99"/>
    <w:semiHidden/>
    <w:unhideWhenUsed/>
    <w:rsid w:val="00F31726"/>
    <w:rPr>
      <w:color w:val="954F72" w:themeColor="followedHyperlink"/>
      <w:u w:val="single"/>
    </w:rPr>
  </w:style>
  <w:style w:type="paragraph" w:styleId="Podnadpis">
    <w:name w:val="Subtitle"/>
    <w:basedOn w:val="Normln"/>
    <w:next w:val="Normln"/>
    <w:rsid w:val="008239CE"/>
    <w:pPr>
      <w:keepNext/>
      <w:keepLines/>
      <w:spacing w:before="360" w:after="80"/>
    </w:pPr>
    <w:rPr>
      <w:rFonts w:ascii="Georgia" w:eastAsia="Georgia" w:hAnsi="Georgia" w:cs="Georgia"/>
      <w:i/>
      <w:color w:val="666666"/>
      <w:sz w:val="48"/>
      <w:szCs w:val="48"/>
    </w:rPr>
  </w:style>
  <w:style w:type="table" w:customStyle="1" w:styleId="a">
    <w:basedOn w:val="TableNormal"/>
    <w:rsid w:val="008239CE"/>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62021CJ0477" TargetMode="External"/><Relationship Id="rId13" Type="http://schemas.openxmlformats.org/officeDocument/2006/relationships/hyperlink" Target="https://eur-lex.europa.eu/legal-content/EN/TXT/?uri=CELEX:62017CJ060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ur-lex.europa.eu/legal-content/EN/TXT/?uri=CELEX:62022CJ0218" TargetMode="External"/><Relationship Id="rId12" Type="http://schemas.openxmlformats.org/officeDocument/2006/relationships/hyperlink" Target="https://eur-lex.europa.eu/legal-content/EN/TXT/?uri=CELEX:62018CJ0762" TargetMode="External"/><Relationship Id="rId17" Type="http://schemas.openxmlformats.org/officeDocument/2006/relationships/hyperlink" Target="https://fra.europa.eu/en/publication/2018/handbook-european-non-discrimination-law-2018-edition" TargetMode="External"/><Relationship Id="rId2" Type="http://schemas.openxmlformats.org/officeDocument/2006/relationships/numbering" Target="numbering.xml"/><Relationship Id="rId16" Type="http://schemas.openxmlformats.org/officeDocument/2006/relationships/hyperlink" Target="https://www.ilo.org/dyn/normlex/en/f?p=NORMLEXPUB:12100:0::NO::P12100_ILO_CODE:C132"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curia.europa.eu/juris/liste.jsf?num=C-55/18" TargetMode="External"/><Relationship Id="rId5" Type="http://schemas.openxmlformats.org/officeDocument/2006/relationships/webSettings" Target="webSettings.xml"/><Relationship Id="rId15" Type="http://schemas.openxmlformats.org/officeDocument/2006/relationships/hyperlink" Target="https://www.coe.int/fr/web/european-social-charter/charter-texts" TargetMode="External"/><Relationship Id="rId10" Type="http://schemas.openxmlformats.org/officeDocument/2006/relationships/hyperlink" Target="https://curia.europa.eu/juris/liste.jsf?num=C-119/19&amp;language=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EN/TXT/?uri=CELEX:62019CJ0344" TargetMode="External"/><Relationship Id="rId14" Type="http://schemas.openxmlformats.org/officeDocument/2006/relationships/hyperlink" Target="https://eur-lex.europa.eu/legal-content/EN/TXT/?uri=CELEX:62016CJ068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xzqe86cM9CRTZG7NaQJx/Tw/fg==">CgMxLjA4AHIhMVlTR3VNc1czb3BMbDBfRlpjWGpTVkRIbGtfLW5mVmdV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2052</Words>
  <Characters>12109</Characters>
  <Application>Microsoft Office Word</Application>
  <DocSecurity>0</DocSecurity>
  <Lines>100</Lines>
  <Paragraphs>28</Paragraphs>
  <ScaleCrop>false</ScaleCrop>
  <Company>HP Inc.</Company>
  <LinksUpToDate>false</LinksUpToDate>
  <CharactersWithSpaces>14133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Unicom Praha</dc:creator>
  <cp:lastModifiedBy>Veronika Slováčková</cp:lastModifiedBy>
  <cp:revision>13</cp:revision>
  <dcterms:created xsi:type="dcterms:W3CDTF">2024-03-04T15:22:00Z</dcterms:created>
  <dcterms:modified xsi:type="dcterms:W3CDTF">2025-10-17T12:42:00Z</dcterms:modified>
</cp:coreProperties>
</file>